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D9" w:rsidRDefault="006150D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Wymagania edukacyjne z fizyki </w:t>
      </w:r>
      <w:r w:rsidR="00482C2B">
        <w:rPr>
          <w:color w:val="221F1F"/>
          <w:w w:val="110"/>
        </w:rPr>
        <w:t xml:space="preserve">dla </w:t>
      </w:r>
      <w:r>
        <w:rPr>
          <w:color w:val="221F1F"/>
          <w:w w:val="110"/>
        </w:rPr>
        <w:t>klas I LO – zakres podstawowy (uczniowie po szkole podstawowej)</w:t>
      </w:r>
    </w:p>
    <w:p w:rsidR="00643E59" w:rsidRDefault="006150D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 </w:t>
      </w:r>
      <w:r w:rsidR="00643E59">
        <w:rPr>
          <w:color w:val="221F1F"/>
          <w:w w:val="110"/>
        </w:rPr>
        <w:t xml:space="preserve">(wymagania na kolejne stopnie się </w:t>
      </w:r>
      <w:r w:rsidR="00643E59"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 w:rsidR="00643E59">
        <w:rPr>
          <w:color w:val="221F1F"/>
          <w:w w:val="125"/>
        </w:rPr>
        <w:t xml:space="preserve">- </w:t>
      </w:r>
      <w:r w:rsidR="00643E59">
        <w:rPr>
          <w:color w:val="221F1F"/>
          <w:w w:val="110"/>
        </w:rPr>
        <w:t>obejmują również wymagania na stopnie niższe)</w:t>
      </w:r>
    </w:p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553"/>
        <w:gridCol w:w="3902"/>
        <w:gridCol w:w="3437"/>
        <w:gridCol w:w="3206"/>
      </w:tblGrid>
      <w:tr w:rsidR="00643E59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643E59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:rsidR="00643E59" w:rsidRPr="00326AD8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643E59" w:rsidRPr="00330D9D" w:rsidRDefault="004C41F6" w:rsidP="00326AD8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:rsidR="00643E59" w:rsidRPr="00326AD8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 w:rsid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326AD8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>
              <w:rPr>
                <w:color w:val="221F1F"/>
                <w:w w:val="105"/>
                <w:sz w:val="15"/>
                <w:szCs w:val="15"/>
              </w:rPr>
              <w:t>internecie)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wielkości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:rsidR="00326AD8" w:rsidRPr="004C41F6" w:rsidRDefault="00326AD8" w:rsidP="00330D9D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wypadkowej; 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P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Pr="00330D9D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lastRenderedPageBreak/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różnych postaciach,</w:t>
            </w:r>
            <w:r w:rsidR="00BF2C1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trzecią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wzajemność 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BF2C1A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:rsidR="00326AD8" w:rsidRPr="00BF2C1A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występującew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:rsidR="00326AD8" w:rsidRDefault="00326AD8" w:rsidP="00DB7079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niezrównoważonej siły,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Pr="005932CB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opory ruchu</w:t>
            </w:r>
          </w:p>
          <w:p w:rsidR="00326AD8" w:rsidRPr="005932CB" w:rsidRDefault="00326AD8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wyznacza wartość siły wypadkowej dla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wybranym przykładzie 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:rsidR="00326AD8" w:rsidRPr="005932CB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jakim ta droga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:rsidR="00326AD8" w:rsidRDefault="00326AD8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:rsidR="00326AD8" w:rsidRDefault="00326AD8" w:rsidP="005932C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330D9D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rozwiązuje nietypowe, złożone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:rsidR="00326AD8" w:rsidRPr="00326AD8" w:rsidRDefault="00326AD8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inercjalnychi nieinercjalnych</w:t>
            </w:r>
          </w:p>
          <w:p w:rsidR="00326AD8" w:rsidRDefault="00326AD8" w:rsidP="00BF2C1A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jednostkami; opisuje związek jednostki częstotliwości (1 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:rsidR="005932CB" w:rsidRPr="00DB7079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DB7079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5F0D9F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w:r w:rsidR="005F0D9F"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 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:rsidR="005932CB" w:rsidRPr="005F0D9F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:rsidR="005932CB" w:rsidRPr="005F0D9F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5F0D9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:rsidR="005F0D9F" w:rsidRPr="005F0D9F" w:rsidRDefault="005F0D9F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>obliczeniach wzór na siłę gwawitacji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5932CB" w:rsidRPr="005F0D9F" w:rsidRDefault="005F0D9F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5932CB"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="005932CB"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="005932CB"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5932CB" w:rsidRPr="005F0D9F" w:rsidRDefault="005932CB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:rsidR="005932CB" w:rsidRPr="00DB7079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 xml:space="preserve">historii </w:t>
            </w:r>
            <w:r w:rsidRPr="00DB7079">
              <w:rPr>
                <w:color w:val="221F1F"/>
                <w:w w:val="105"/>
                <w:sz w:val="15"/>
                <w:szCs w:val="15"/>
              </w:rPr>
              <w:lastRenderedPageBreak/>
              <w:t>lotów kosmicznych; podaje przykłady zastosowania satelitów (na podstawie samodzielnie wybranych materiałów źródłowych)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5F0D9F" w:rsidRDefault="005932CB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Pr="005F0D9F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1227CD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 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:rsidR="005932CB" w:rsidRDefault="005932CB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1227CD" w:rsidRDefault="005932CB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:rsidR="005932CB" w:rsidRDefault="005932CB" w:rsidP="001227C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:rsidR="005932CB" w:rsidRPr="00531C14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:rsidR="005932CB" w:rsidRPr="00531C14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jednostki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czasu,</w:t>
            </w:r>
            <w:r w:rsid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wykonuje</w:t>
            </w:r>
            <w:r w:rsidR="005932CB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lub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5932CB" w:rsidRPr="00531C14" w:rsidRDefault="005932CB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31C14" w:rsidRDefault="005932CB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</w:t>
            </w:r>
            <w:r w:rsidR="005932CB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DB7079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:rsidR="005932CB" w:rsidRPr="00531C14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Pr="00531C14" w:rsidRDefault="005932CB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Pr="00531C14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5932CB" w:rsidRDefault="005932CB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:rsidR="00F171DF" w:rsidRDefault="00F171DF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F171DF" w:rsidRDefault="00F171DF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6150D9" w:rsidRDefault="006150D9" w:rsidP="006150D9"/>
    <w:p w:rsidR="006150D9" w:rsidRPr="006150D9" w:rsidRDefault="006150D9" w:rsidP="006150D9"/>
    <w:p w:rsidR="00F171DF" w:rsidRPr="00486932" w:rsidRDefault="00F171DF" w:rsidP="00F171DF">
      <w:pPr>
        <w:rPr>
          <w:sz w:val="18"/>
          <w:szCs w:val="18"/>
        </w:rPr>
      </w:pPr>
      <w:r w:rsidRPr="00486932">
        <w:rPr>
          <w:sz w:val="18"/>
          <w:szCs w:val="18"/>
        </w:rPr>
        <w:t>Wymagania na ocenę celującą:</w:t>
      </w:r>
    </w:p>
    <w:p w:rsidR="00F171DF" w:rsidRPr="00486932" w:rsidRDefault="00F171DF" w:rsidP="00F171DF">
      <w:pPr>
        <w:rPr>
          <w:sz w:val="18"/>
          <w:szCs w:val="18"/>
        </w:rPr>
      </w:pPr>
      <w:r w:rsidRPr="00486932">
        <w:rPr>
          <w:sz w:val="18"/>
          <w:szCs w:val="18"/>
        </w:rPr>
        <w:t>Ocenę celującą otrzymuje uczeń który w pełni opanował wymagania na ocenę bardzo dobrą oraz :</w:t>
      </w:r>
    </w:p>
    <w:p w:rsidR="00F171DF" w:rsidRPr="00486932" w:rsidRDefault="00F171DF" w:rsidP="00F171DF">
      <w:pPr>
        <w:rPr>
          <w:sz w:val="18"/>
          <w:szCs w:val="18"/>
        </w:rPr>
      </w:pPr>
    </w:p>
    <w:p w:rsidR="00F171DF" w:rsidRPr="00486932" w:rsidRDefault="00F171DF" w:rsidP="00F171DF">
      <w:pPr>
        <w:rPr>
          <w:sz w:val="18"/>
          <w:szCs w:val="18"/>
        </w:rPr>
      </w:pPr>
      <w:r w:rsidRPr="00486932">
        <w:rPr>
          <w:sz w:val="18"/>
          <w:szCs w:val="18"/>
        </w:rPr>
        <w:t>- systematycznie wzbogaca swą wiedzę,</w:t>
      </w:r>
    </w:p>
    <w:p w:rsidR="00F171DF" w:rsidRPr="00486932" w:rsidRDefault="00F171DF" w:rsidP="00F171DF">
      <w:pPr>
        <w:rPr>
          <w:sz w:val="18"/>
          <w:szCs w:val="18"/>
        </w:rPr>
      </w:pPr>
      <w:r w:rsidRPr="00486932">
        <w:rPr>
          <w:sz w:val="18"/>
          <w:szCs w:val="18"/>
        </w:rPr>
        <w:t xml:space="preserve">- bierze udział w konkursach i olimpiadach przedmiotowych, </w:t>
      </w:r>
    </w:p>
    <w:p w:rsidR="00F171DF" w:rsidRPr="00486932" w:rsidRDefault="00F171DF" w:rsidP="00F171DF">
      <w:pPr>
        <w:rPr>
          <w:sz w:val="18"/>
          <w:szCs w:val="18"/>
        </w:rPr>
      </w:pPr>
      <w:r w:rsidRPr="00486932">
        <w:rPr>
          <w:sz w:val="18"/>
          <w:szCs w:val="18"/>
        </w:rPr>
        <w:t>- wyraża samodzielny, krytyczny stosunek do określonych zagadnień,</w:t>
      </w:r>
    </w:p>
    <w:p w:rsidR="00F171DF" w:rsidRPr="00486932" w:rsidRDefault="00F171DF" w:rsidP="00F171DF">
      <w:pPr>
        <w:rPr>
          <w:sz w:val="18"/>
          <w:szCs w:val="18"/>
        </w:rPr>
      </w:pPr>
      <w:r w:rsidRPr="00486932">
        <w:rPr>
          <w:sz w:val="18"/>
          <w:szCs w:val="18"/>
        </w:rPr>
        <w:t>- potrafi udowodnić swoje zdanie używając odpowiedniej argumentacji będącej skutkiem nabytej samodzielnie wiedzy,</w:t>
      </w:r>
    </w:p>
    <w:p w:rsidR="00F171DF" w:rsidRPr="00486932" w:rsidRDefault="00F171DF" w:rsidP="00F171DF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współpracuje z nauczycielem, rozwija własne zainteresowania,</w:t>
      </w:r>
    </w:p>
    <w:p w:rsidR="00F171DF" w:rsidRPr="00486932" w:rsidRDefault="00F171DF" w:rsidP="00F171DF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wykazuje szczególne zainteresowania przedmiotem i dysponuje pogłębioną wiedzą ,</w:t>
      </w:r>
    </w:p>
    <w:p w:rsidR="00F171DF" w:rsidRPr="00486932" w:rsidRDefault="00F171DF" w:rsidP="00F171DF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chętnie podejmuje się zadań dodatkowych,</w:t>
      </w:r>
    </w:p>
    <w:p w:rsidR="00F171DF" w:rsidRPr="00486932" w:rsidRDefault="00F171DF" w:rsidP="00F171DF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przedstawia wyniki samodzielnej pracy przygotowanej z wykorzystaniem warsztatu naukowego,</w:t>
      </w:r>
    </w:p>
    <w:p w:rsidR="00F171DF" w:rsidRPr="00486932" w:rsidRDefault="00F171DF" w:rsidP="00F171DF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osiąga sukcesy w konkursach i olimpiadach przedmiotowych,</w:t>
      </w:r>
    </w:p>
    <w:p w:rsidR="00F171DF" w:rsidRPr="00486932" w:rsidRDefault="00F171DF" w:rsidP="00F171DF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prezentuje raport z własnego działania i grupy.</w:t>
      </w:r>
    </w:p>
    <w:p w:rsidR="00F171DF" w:rsidRDefault="00F171DF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F171DF" w:rsidRDefault="00F171DF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F171DF" w:rsidRDefault="00F171DF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sectPr w:rsidR="00F171DF" w:rsidSect="004C41F6">
      <w:headerReference w:type="default" r:id="rId8"/>
      <w:footerReference w:type="default" r:id="rId9"/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DA" w:rsidRDefault="007748DA" w:rsidP="004C41F6">
      <w:r>
        <w:separator/>
      </w:r>
    </w:p>
  </w:endnote>
  <w:endnote w:type="continuationSeparator" w:id="0">
    <w:p w:rsidR="007748DA" w:rsidRDefault="007748DA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338"/>
      <w:docPartObj>
        <w:docPartGallery w:val="Page Numbers (Bottom of Page)"/>
        <w:docPartUnique/>
      </w:docPartObj>
    </w:sdtPr>
    <w:sdtContent>
      <w:p w:rsidR="006150D9" w:rsidRDefault="009E0F77">
        <w:pPr>
          <w:pStyle w:val="Stopka"/>
          <w:jc w:val="center"/>
        </w:pPr>
        <w:fldSimple w:instr=" PAGE   \* MERGEFORMAT ">
          <w:r w:rsidR="00482C2B">
            <w:rPr>
              <w:noProof/>
            </w:rPr>
            <w:t>1</w:t>
          </w:r>
        </w:fldSimple>
      </w:p>
    </w:sdtContent>
  </w:sdt>
  <w:p w:rsidR="006150D9" w:rsidRDefault="00615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DA" w:rsidRDefault="007748DA" w:rsidP="004C41F6">
      <w:r>
        <w:separator/>
      </w:r>
    </w:p>
  </w:footnote>
  <w:footnote w:type="continuationSeparator" w:id="0">
    <w:p w:rsidR="007748DA" w:rsidRDefault="007748DA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9D" w:rsidRDefault="00330D9D">
    <w:pPr>
      <w:pStyle w:val="Nagwek"/>
    </w:pPr>
  </w:p>
  <w:p w:rsidR="00330D9D" w:rsidRDefault="00330D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643E59"/>
    <w:rsid w:val="001227CD"/>
    <w:rsid w:val="00276243"/>
    <w:rsid w:val="00325B71"/>
    <w:rsid w:val="00326AD8"/>
    <w:rsid w:val="00330D9D"/>
    <w:rsid w:val="00482C2B"/>
    <w:rsid w:val="004C41F6"/>
    <w:rsid w:val="00531C14"/>
    <w:rsid w:val="005932CB"/>
    <w:rsid w:val="005F0D9F"/>
    <w:rsid w:val="006150D9"/>
    <w:rsid w:val="006153A2"/>
    <w:rsid w:val="00643E59"/>
    <w:rsid w:val="00721F97"/>
    <w:rsid w:val="007748DA"/>
    <w:rsid w:val="009E0F77"/>
    <w:rsid w:val="00B02921"/>
    <w:rsid w:val="00B13884"/>
    <w:rsid w:val="00BE187C"/>
    <w:rsid w:val="00BF2C1A"/>
    <w:rsid w:val="00C92CF0"/>
    <w:rsid w:val="00D82E41"/>
    <w:rsid w:val="00DB7079"/>
    <w:rsid w:val="00DC1C61"/>
    <w:rsid w:val="00ED6BDC"/>
    <w:rsid w:val="00F171DF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2E41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82E41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2E41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E41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2E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D82E41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D82E41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FA8A-63B0-4CDF-9946-55176460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4705</Words>
  <Characters>28231</Characters>
  <Application>Microsoft Office Word</Application>
  <DocSecurity>0</DocSecurity>
  <Lines>235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CHEMIKI</cp:lastModifiedBy>
  <cp:revision>3</cp:revision>
  <dcterms:created xsi:type="dcterms:W3CDTF">2019-09-09T18:51:00Z</dcterms:created>
  <dcterms:modified xsi:type="dcterms:W3CDTF">2019-09-09T18:56:00Z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