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EF" w:rsidRPr="00D320EF" w:rsidRDefault="007B5BA1" w:rsidP="007B5BA1">
      <w:pPr>
        <w:jc w:val="center"/>
        <w:rPr>
          <w:b/>
          <w:color w:val="0D0D0D"/>
          <w:sz w:val="24"/>
          <w:szCs w:val="24"/>
        </w:rPr>
      </w:pPr>
      <w:r w:rsidRPr="00D320EF">
        <w:rPr>
          <w:b/>
          <w:color w:val="0D0D0D"/>
          <w:sz w:val="24"/>
          <w:szCs w:val="24"/>
        </w:rPr>
        <w:t>WYMAGANIA</w:t>
      </w:r>
      <w:r w:rsidR="008C7ACD">
        <w:rPr>
          <w:b/>
          <w:color w:val="0D0D0D"/>
          <w:sz w:val="24"/>
          <w:szCs w:val="24"/>
        </w:rPr>
        <w:t xml:space="preserve"> EDUKACYJNE Z FIZYKI DLA </w:t>
      </w:r>
      <w:r w:rsidRPr="00D320EF">
        <w:rPr>
          <w:b/>
          <w:color w:val="0D0D0D"/>
          <w:sz w:val="24"/>
          <w:szCs w:val="24"/>
        </w:rPr>
        <w:t>BRANŻOWEJ SZKOŁY I STOPNIA</w:t>
      </w:r>
      <w:bookmarkStart w:id="0" w:name="_GoBack"/>
      <w:bookmarkEnd w:id="0"/>
    </w:p>
    <w:p w:rsidR="00D320EF" w:rsidRPr="00D320EF" w:rsidRDefault="00D320EF" w:rsidP="00D320EF">
      <w:pPr>
        <w:jc w:val="center"/>
        <w:rPr>
          <w:rFonts w:cs="Arial"/>
          <w:b/>
          <w:color w:val="0D0D0D"/>
          <w:sz w:val="24"/>
          <w:szCs w:val="24"/>
        </w:rPr>
      </w:pPr>
      <w:r w:rsidRPr="00D320EF">
        <w:rPr>
          <w:rFonts w:cs="Arial"/>
          <w:b/>
          <w:color w:val="0D0D0D"/>
          <w:sz w:val="24"/>
          <w:szCs w:val="24"/>
        </w:rPr>
        <w:t>KLASA 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835"/>
        <w:gridCol w:w="2835"/>
        <w:gridCol w:w="2835"/>
      </w:tblGrid>
      <w:tr w:rsidR="00D320EF" w:rsidRPr="00895929" w:rsidTr="00895929">
        <w:tc>
          <w:tcPr>
            <w:tcW w:w="2943" w:type="dxa"/>
            <w:tcBorders>
              <w:bottom w:val="single" w:sz="4" w:space="0" w:color="auto"/>
            </w:tcBorders>
          </w:tcPr>
          <w:p w:rsidR="00D320EF" w:rsidRPr="00895929" w:rsidRDefault="00D320EF" w:rsidP="00895929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895929">
              <w:rPr>
                <w:rFonts w:cs="Calibri"/>
                <w:b/>
                <w:sz w:val="24"/>
                <w:szCs w:val="24"/>
              </w:rPr>
              <w:t>Ocena dopuszczająca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20EF" w:rsidRPr="00895929" w:rsidRDefault="00D320EF" w:rsidP="00895929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895929">
              <w:rPr>
                <w:rFonts w:cs="Calibri"/>
                <w:b/>
                <w:sz w:val="24"/>
                <w:szCs w:val="24"/>
              </w:rPr>
              <w:t>Ocena dostateczna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20EF" w:rsidRPr="00895929" w:rsidRDefault="00D320EF" w:rsidP="00895929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895929">
              <w:rPr>
                <w:rFonts w:cs="Calibri"/>
                <w:b/>
                <w:sz w:val="24"/>
                <w:szCs w:val="24"/>
              </w:rPr>
              <w:t>Ocena dobra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20EF" w:rsidRPr="00895929" w:rsidRDefault="00D320EF" w:rsidP="00895929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895929">
              <w:rPr>
                <w:rFonts w:cs="Calibri"/>
                <w:b/>
                <w:sz w:val="24"/>
                <w:szCs w:val="24"/>
              </w:rPr>
              <w:t>Ocena bardzo dobra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320EF" w:rsidRPr="00895929" w:rsidRDefault="00D320EF" w:rsidP="00895929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895929">
              <w:rPr>
                <w:rFonts w:cs="Calibri"/>
                <w:b/>
                <w:sz w:val="24"/>
                <w:szCs w:val="24"/>
              </w:rPr>
              <w:t>Ocena celująca</w:t>
            </w:r>
          </w:p>
        </w:tc>
      </w:tr>
      <w:tr w:rsidR="008C7ACD" w:rsidRPr="00895929" w:rsidTr="00092E68">
        <w:tc>
          <w:tcPr>
            <w:tcW w:w="14283" w:type="dxa"/>
            <w:gridSpan w:val="5"/>
          </w:tcPr>
          <w:p w:rsidR="008C7ACD" w:rsidRPr="00895929" w:rsidRDefault="008C7ACD" w:rsidP="008959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b/>
                <w:sz w:val="24"/>
                <w:szCs w:val="24"/>
              </w:rPr>
              <w:t>Dział 1. Wiadomości wstępne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spacing w:after="0" w:line="240" w:lineRule="auto"/>
              <w:ind w:left="353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3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pojęcia: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ciało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substancja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wielkość fizyczna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zjawisko fizyczne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3" w:hanging="357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pojęcie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pomiar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obserwacja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doświadczenie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3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pojęcie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hipoteza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, 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model fizyczny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3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dostrzega zjawiska fizyczne w otaczającym świecie i życiu codziennym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3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wyjaśnia, czym jest prawo fizyczne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3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zjawiska fizyczne w otaczającym świecie i życiu codziennym</w:t>
            </w:r>
          </w:p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3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obserwowane zjawiska i wielkości fizyczne własnymi słowami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3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przedstawia własnymi słowami główne tezy tekstu popularnonaukowego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3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obserwowane zjawiska i wielkości fizyczne, wykorzystując terminologię naukową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3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formułuje wnioski z treści tekstu popularnonaukowego</w:t>
            </w:r>
          </w:p>
          <w:p w:rsidR="00D320EF" w:rsidRPr="00895929" w:rsidRDefault="00D320EF" w:rsidP="008959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03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formułuje proste prawa fizyczne na podstawie obserwacji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4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wielkość fizyczną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4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wymienia jednostki podstawowe układu SI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4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wyjaśnia, czym są jednostki pochodne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4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jednostek pochodnych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4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posługuje się kartą wybranych wzorów i stałych fizycznych oraz tablicami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9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 różnicę między wielkością podstawową a wielkością pochodną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9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zamienia jednostki wielokrotne i podwielokrotne na jednostki główne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44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zapisuje jednostki pochodne za pomocą jednostek podstawowych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44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posługuje się notacja wykładniczą do zapisu jednostek wielo- i podwielkrotnych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25"/>
              </w:numPr>
              <w:spacing w:line="240" w:lineRule="auto"/>
              <w:ind w:left="371" w:hanging="37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przedstawia jednostki pochodne za pomocą jednostek podstawowych na podstawie wzoru opisującego wielkość pochodną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03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sprawdza poprawność wzorów za pomocą rachunku jednostek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03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zamienia jednostki historyczne na jednostki układu SI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03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podaje przykłady jednostek historycznych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54" w:hanging="3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prawo fizyczne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54" w:hanging="3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odczytuje z wykresu bezpośrednio wartości wielkości fizycznych przy danych założeniach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54" w:hanging="3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rozpoznaje wielkości rosnące i malejące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1" w:hanging="2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wyjaśnia, czym jest prawo fizyczne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1" w:hanging="2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sporządza wykresy zależności pomiędzy wielkościami fizycznymi na podstawie wzoru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1" w:hanging="2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odczytuje z wykresu wartości wielkości fizycznych przy danych założeniach – jako pole pod wykresem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1" w:hanging="2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rozpoznaje wielkości wprost proporcjonalne</w:t>
            </w:r>
          </w:p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00" w:hanging="283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oznacza odpowiednio osie układu współrzędnych w celu przedstawienia zadanej zależności na wykresie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7" w:hanging="317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na podstawie wykresu określa wzajemne relacje wielkości fizycznych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3" w:hanging="353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dobiera skalę osi układu współrzędnych w celu przedstawienia zadanej zależności na wykresie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3" w:hanging="353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dopasowuje prostą do danych przedstawionych na wykresie 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57" w:hanging="157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podaje i wyjaśnia znaczenie parametrów prostej dopasowanej do danych przedstawionych na wykresie 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57" w:hanging="157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ocenia poprawność podanej zależności na podstawie wykresu i odwrotnie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4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 różnicę miedzy wielkością wektorową i wielkością skalarną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4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wielkości fizycznych skalarnych i wektorowych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4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stosuje odpowiednie oznaczenia graficzne do opisu wielkości wektorowych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1" w:hanging="2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wymienia cechy wektora: wartość, kierunek, zwrot i punkt przyłożenia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1" w:hanging="22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dodaje wektory o tym samym kierunku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8" w:hanging="22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długość wektora będącego sumą wektorów o tych samych kierunkach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8" w:hanging="22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dodaje wektory o różnych kierunkach metodą równoległoboku i metoda trójkąta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wartość wektora będącego sumą zadanych wektorów prostopadłych</w:t>
            </w:r>
          </w:p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157" w:hanging="1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mnoży wektor przez liczbę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157" w:hanging="1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rozkłada wektor na składowe o wskazanych kierunkach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157" w:hanging="1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kąt pomiędzy wektorem będącym sumą dwóch zadanych wektorów prostopadłych, a jego składowymi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4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niepewność pomiarową i dokładność pomiaru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4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pomiary pośrednie i bezpośrednie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40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przeprowadza proste pomiary i doświadczenia według instrukcji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3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korzysta z prostych przyrządów pomiarowych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3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niepewność bezwzględną i względną pomiaru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3" w:hanging="31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przestrzega zasad bezpieczeństwa podczas wykonywania doświadczeń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rozróżnia pomiary bezpośrednie i pośrednie w zadanych sytuacjach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korzysta z przyrządów pomiarowych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odczytuje parametry przyrządów pomiarowych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określa niepewności systematyczne dla różnych przyrządów pomiarowych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niepewność względną pomiaru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53" w:hanging="2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zapisuje wyniki pomiarów z uwzględnieniem niepewności pomiarowej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53" w:hanging="2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wymienia źródła niepewności pomiarowych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planuje pomiary w zadanych sytuacjach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sposoby redukcji niepewności pomiarowej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niepewność przeciętną i maksymalną pomiaru wielokrotnego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ocenia jakość pomiaru na podstawie błędu względnego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szacuje wynik pomiaru i obliczeń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06" w:hanging="21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ocenia pomiar na podstawie zgodności z wielkościami szacunkowymi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06" w:hanging="21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zaokrągla wyniki pomiarów i obliczeń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potrafi ocenić przydatność dokonanego pomiaru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formułuje wnioski dokonanych pomiarów</w:t>
            </w:r>
          </w:p>
        </w:tc>
      </w:tr>
      <w:tr w:rsidR="008C7ACD" w:rsidRPr="00895929" w:rsidTr="00092E68">
        <w:tc>
          <w:tcPr>
            <w:tcW w:w="14283" w:type="dxa"/>
            <w:gridSpan w:val="5"/>
          </w:tcPr>
          <w:p w:rsidR="008C7ACD" w:rsidRPr="00895929" w:rsidRDefault="008C7ACD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b/>
                <w:sz w:val="24"/>
                <w:szCs w:val="24"/>
              </w:rPr>
              <w:t>Dział 2. Kinematyka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pojęcie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układ odniesienia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rozumie, że ruch jest względny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definiuje punkt materialny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ruch i jego parametry: czas ruchu, tor, drogę, przemieszczenie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rozpoznaje drogę, tor i przemieszczenie w przykładowych sytuacjach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prędkość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przyrost prędkości oraz przyspieszenie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ruchu i spoczynku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odróżnia ruch prostoliniowy od krzywoliniowego i jednostajny od niejednostajnego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198" w:hanging="19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jednostki prędkości i przyspieszenia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wyjaśnia, na czym polega względność ruchu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wyjaśnia sens fizyczny prędkości i przyspieszenia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oblicza drogę i przemieszczenie w sytuacjach typowych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oblicza wartość prędkości szybkości w sytuacjach typowych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wartość przyspieszenia w ruchu jednostajnie zmiennym w sytuacjach typowych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00" w:hanging="300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przekształca wzory, aby obliczyć wartości przebytej drogi i czasu ruchu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00" w:hanging="300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oznacza wektor prędkości jako styczny do toru ruchu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00" w:hanging="30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drogę i przemieszczenie w sytuacjach problemowych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00" w:hanging="30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wartość prędkości w sytuacjach problemowych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317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oblicza wartość przyspieszenia w ruchu jednostajnie zmiennym w sytuacjach problemowych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11" w:hanging="211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wyjaśnia konieczność istnienia układu odniesienia w opisie ruchu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11" w:hanging="211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podaje przykłady uzasadniające względność ruchu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1" w:hanging="21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oblicza wartość prędkości w ruchu przyspieszonym w zadanej chwili 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podaje przykłady ruchu, w których ciała nie można traktować jako punktu materialnego 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ruch prostoliniowy jednostajny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198" w:hanging="19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przedstawia na wykresie zależności drogi od czasu oraz prędkości od czasu w ruchu prostoliniowym jednostajnym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prędkość w ruchu prostoliniowym jednostajnym w sytuacjach typowych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oblicza drogę przebytą w ruchu prostoliniowym jednostajnym w dowolnym przedziale czasu w sytuacjach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typowych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odczytuje wartość szybkości z wykresu zależności prędkości od czasu w ruchu prostoliniowym jednostajnym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określa na podstawie wykresów zależności drogi od czasu w ruchu prostoliniowym jednostajnym, które ciało porusza się z większą prędkością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oblicza prędkość na podstawie graficznego przedstawienia ruchu prostoliniowego jednostajnego 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odczytuje wartość drogi z wykresu zależności prędkości od czasu w ruchu prostoliniowym jednostajnym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oblicza prędkość w ruchu prostoliniowym jednostajnym w sytuacjach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problemowych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drogę przebytą w ruchu prostoliniowym jednostajnym w dowolnym przedziale czasu w sytuacjach problemowych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prędkość wypadkową w ruchu będącym złożeniem ruchów prostoliniowych jednostajnych w sytuacjach typowych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przedstawia graficznie ruch prostoliniowy jednostajny za pomocą współrzędnych położenia i czasu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1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na podstawie wykresów zależności szybkości od czasu w ruchu prostoliniowym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jednostajnym kreśli zależność położenia od czasu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1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prędkość wypadkową w ruchu będącym złożeniem ruchów prostoliniowych jednostajnych w sytuacjach problemowych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oblicza przemieszczenie na podstawie wykresu zależności szybkości od czasu w ruchu prostoliniowym jednostajnym 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rozwiązuje zadania problemowe wykraczające poza </w:t>
            </w:r>
            <w:r w:rsidRPr="00895929">
              <w:rPr>
                <w:rFonts w:cs="Calibri"/>
                <w:sz w:val="24"/>
                <w:szCs w:val="24"/>
              </w:rPr>
              <w:lastRenderedPageBreak/>
              <w:t>wymagania dopełniające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195" w:hanging="19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ruch prostoliniowy jednostajnie przyspieszony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195" w:hanging="19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ruchu prostoliniowego jednostajnie przyspieszonego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195" w:hanging="19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kreśli zależność drogi od czasu w ruchu prostoliniowym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jednostajnie przyspieszonym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195" w:hanging="19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 pojęcie spadku swobodnego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195" w:hanging="19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spadku swobodnego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195" w:hanging="19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wie, że czas spadku swobodnego nie zależy od masy ciała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ind w:left="219" w:hanging="219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9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wartość przyspieszenia w ruchu jednostajnie przyspieszonym w sytuacjach typowych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9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prędkość chwilową w danej chwili w ruchu prostoliniowym jednostajnie przyspieszonym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9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odczytuje wartość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prędkości chwilowej w zadanej chwili na podstawie wykresu zależności prędkości od czasu w ruchu prostoliniowym jednostajnie przyspieszonym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9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określa, które ciało porusza się z większym przyspieszeniem na podstawie wykresów zależności prędkości od czasu w ruchu prostoliniowym jednostajnie przyspieszonym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9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całkowitą drogę przebytą w ruchu prostoliniowym jednostajnie przyspieszonym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9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 znaczenie przyspieszenia ziemskiego i podaje jego przybliżoną wartość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9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opisuje spadek swobodny jako ruch prostoliniowy jednostajnie przyspieszony z zerową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szybkością początkową 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3" w:hanging="28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wartość przyspieszenia w ruchu jednostajnie przyspieszonym w sytuacjach problemowych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3" w:hanging="28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oblicza prędkość średnią w zadanym przedziale czasu w ruchu prostoliniowym jednostajnie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przyspieszonym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3" w:hanging="28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odczytuje wartość drogi przebytej w zadanym przedziale czasu na podstawie wykresu zależności prędkości od czasu w ruchu prostoliniowym jednostajnie przyspieszonym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3" w:hanging="28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drogę w ruchu prostoliniowym jednostajnie przyspieszonym przebytą w zadanym przedziale czasu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3" w:hanging="28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oblicza przyrost prędkości na podstawie wykresu zależności przyspieszenia od czasu w ruchu jednostajnie przyspieszonym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3" w:hanging="28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 niezależność czasu spadku swobodnego od masy spadającego ciała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3" w:hanging="28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prędkość końcową i czas spadku swobodnego z danej wysokości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3" w:hanging="28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oblicza wysokość, z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jakiej spadało swobodnie ciało na podstawie danego czasu ruchu lub prędkości końcowej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29" w:hanging="229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na podstawie wykresów zależności prędkości od czasu oraz drogi od czasu rozpoznaje ruch jednostajnie przyspieszony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określa, które ciało porusza się z większym przyspieszeniem na podstawie wykresów zależności drogi od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czasu w ruchu prostoliniowym jednostajnie przyspieszonym 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29" w:hanging="229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oblicza prędkość początkową, końcową, drogę i czas ruchu w ruchu jednostajnie przyspieszonym w sytuacjach problemowych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wysokość, na jakiej znajdzie się spadające swobodnie ciało w danej chwili czasu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wartości prędkości, czasu i wysokości w spadku swobodnym w sytuacjach problemowych</w:t>
            </w:r>
          </w:p>
          <w:p w:rsidR="00D320EF" w:rsidRPr="00895929" w:rsidRDefault="00D320EF" w:rsidP="008959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wyznacza prędkość w dowolnej chwili czasu jako tangens nachylenia stycznej do wykresu na podstawie zależności drogi od czasu w ruchu jednostajnie przyspieszonym 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wyprowadza wzory na prędkość, czas i wysokość w spadku </w:t>
            </w:r>
            <w:r w:rsidRPr="00895929">
              <w:rPr>
                <w:rFonts w:cs="Calibri"/>
                <w:sz w:val="24"/>
                <w:szCs w:val="24"/>
              </w:rPr>
              <w:lastRenderedPageBreak/>
              <w:t>swobodnym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D320EF" w:rsidRPr="00895929" w:rsidTr="008C7ACD">
        <w:trPr>
          <w:trHeight w:val="416"/>
        </w:trPr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4" w:hanging="212"/>
              <w:jc w:val="left"/>
              <w:rPr>
                <w:rFonts w:ascii="Calibri" w:hAnsi="Calibri" w:cs="Calibri"/>
                <w:strike/>
                <w:color w:val="000000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pojęcie opóźnienia, jako przyspieszenia o ujemnej wartości</w:t>
            </w:r>
            <w:r w:rsidRPr="00895929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4" w:hanging="2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ruchu prostoliniowego jednostajnie opóźnionego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4" w:hanging="2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 pojęcie rzutu pionowego w górę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ind w:left="219" w:hanging="141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pojęcie opóźnienia jako przyspieszenia o zwrocie przeciwnym do zwrotu prędkości</w:t>
            </w:r>
          </w:p>
          <w:p w:rsidR="00D320EF" w:rsidRPr="00895929" w:rsidRDefault="00D320EF" w:rsidP="00895929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wartość opóźnienia w ruchu jednostajnie opóźnionym w sytuacjach typowych</w:t>
            </w:r>
          </w:p>
          <w:p w:rsidR="00D320EF" w:rsidRPr="00895929" w:rsidRDefault="00D320EF" w:rsidP="00895929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prędkość chwilową w danej chwili w ruchu prostoliniowym jednostajnie opóźnionym</w:t>
            </w:r>
          </w:p>
          <w:p w:rsidR="00D320EF" w:rsidRPr="00895929" w:rsidRDefault="00D320EF" w:rsidP="00895929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odczytuje wartość prędkości chwilowej w zadanej chwili czasu na podstawie wykresu zależności szybkości od czasu w ruchu prostoliniowym jednostajnie opóźnionym</w:t>
            </w:r>
          </w:p>
          <w:p w:rsidR="00D320EF" w:rsidRPr="00895929" w:rsidRDefault="00D320EF" w:rsidP="00895929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na podstawie wykresów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zależności szybkości od czasu w ruchu prostoliniowym jednostajnie opóźnionym określa, które ciało porusza się z większym opóźnieniem</w:t>
            </w:r>
          </w:p>
          <w:p w:rsidR="00D320EF" w:rsidRPr="00895929" w:rsidRDefault="00D320EF" w:rsidP="00895929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całkowitą drogę przebyta w ruchu prostoliniowym jednostajnie opóźnionym</w:t>
            </w:r>
          </w:p>
          <w:p w:rsidR="00D320EF" w:rsidRPr="00895929" w:rsidRDefault="00D320EF" w:rsidP="00895929">
            <w:pPr>
              <w:pStyle w:val="Wypunktowanie"/>
              <w:tabs>
                <w:tab w:val="left" w:pos="142"/>
              </w:tabs>
              <w:spacing w:line="240" w:lineRule="auto"/>
              <w:ind w:left="219" w:hanging="14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rzut pionowy w górę jako następujące po sobie ruchy prostoliniowy jednostajnie opóźniony oraz jednostajnie przyspieszony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ind w:left="313" w:hanging="313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3" w:hanging="31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wartość opóźnienia w ruchu jednostajnie opóźnionym w sytuacjach problemowych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3" w:hanging="31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prędkość średnią w zadanym przedziale czas w ruchu prostoliniowym jednostajnie opóźnionym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3" w:hanging="31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odczytuje wartość drogi przebytej w zadanym przedziale czasu na podstawie wykresu zależności prędkości od czasu w ruchu prostoliniowym jednostajnie opóźnionym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3" w:hanging="31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oblicza drogę w ruchu prostoliniowym jednostajnie opóźnionym przebytą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w zadanym przedziale czasu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3" w:hanging="31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na podstawie wykresu zależności przyspieszenia od czasu w ruchu jednostajnie opóźnionym, oblicza przyrost prędkości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3" w:hanging="31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ruch będący następującymi po sobie ruchami jednostajnymi, jednostajnie przyspieszonymi i jednostajnie opóźnionymi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3" w:hanging="31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prędkość na różnych etapach ruchu w rzucie pionowym w górę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3" w:hanging="31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czas ruchu i maksymalną wysokość w rzucie pionowym w górę w sytuacjach typowych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3" w:hanging="31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szybkość początkową, z jaką rzucono ciało pionowo w górę na podstawie danego czasu ruchu i maksymalnej wysokości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na podstawie wykresów zależności prędkości od czasu oraz drogi od czasu rozpoznaje ruch jednostajnie opóźniony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określa, które ciało porusza się z większym opóźnieniem na podstawie wykresów zależności drogi od czasu w ruchu prostoliniowym jednostajnie opóźnionym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oblicza prędkość początkową, końcową, drogę i czas ruchu w ruchu jednostajnie opóźnionym w sytuacjach problemowych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opisuje złożony ruch ciała na podstawie </w:t>
            </w:r>
            <w:r w:rsidRPr="00895929">
              <w:rPr>
                <w:rFonts w:cs="Calibri"/>
                <w:sz w:val="24"/>
                <w:szCs w:val="24"/>
              </w:rPr>
              <w:lastRenderedPageBreak/>
              <w:t>zależności szybkości od czasu i drogi od czasu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wysokość, na jakiej znajdzie się ciało w danej chwiliw rzucie pionowym w górę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oblicza prędkość początkową, końcową, czas ruchu i maksymalną wysokość w rzucie pionowym w górę w sytuacjach problemowych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wyznacza prędkość w dowolnej chwili jako tangens nachylenia stycznej do wykresu na podstawie zależności drogi od czasu w ruchu jednostajnie opóźnionym 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D320EF" w:rsidRPr="00895929" w:rsidTr="00895929">
        <w:trPr>
          <w:trHeight w:val="4805"/>
        </w:trPr>
        <w:tc>
          <w:tcPr>
            <w:tcW w:w="2943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ruch okresowy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ruch jednostajny po okręgu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ruch po okręgu jako ruch krzywoliniowy i ruch okresowy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pojęcie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częstotliwość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okres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 xml:space="preserve">prędkość liniowa 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i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 xml:space="preserve">droga </w:t>
            </w:r>
            <w:r w:rsidRPr="00895929">
              <w:rPr>
                <w:rFonts w:ascii="Calibri" w:hAnsi="Calibri" w:cs="Calibri"/>
                <w:sz w:val="24"/>
                <w:szCs w:val="24"/>
              </w:rPr>
              <w:t>w ruchu okresowym, podaje ich jednostki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drogę w ruchu jednostajnym po okręgu w sytuacjach prostych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prędkość liniową w ruchu po okręgu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przyspieszenie dośrodkowe w ruchu po okręgu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48" w:hanging="248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oblicza drogę w ruchu jednostajnym po okręgu w sytuacjach problemowych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48" w:hanging="24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zależności pomiędzy częstotliwością i okresem w ruchu jednostajnym po okręgu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48" w:hanging="24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wykorzystuje radian jako miarę kąta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48" w:hanging="24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prędkość kątową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48" w:hanging="24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 znaczenie przyspieszenia dośrodkowego w ruchu jednostajnym po okręgu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wartości prędkości liniowej okresu i częstotliwości w ruchu jednostajnym po okręgu w sytuacjach typowych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zależność między prędkością liniowa i kątową w ruchu po okręgu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wartość prędkości kątowej na podstawie danej prędkości liniowej i odwrotnie w ruchu jednostajnym po zadanym okręgu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przyspieszenie dośrodkowe w ruchu jednostajnym po zadanym okręgu w sytuacjach typowych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wartości prędkości liniowej, kątowej, okresu i częstotliwości w ruchu jednostajnym po okręgu w sytuacjach problemowych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26" w:hanging="226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oblicza przyspieszenie dośrodkowe w ruchu jednostajnym po zadanym okręgu w sytuacjach problemowych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wyprowadza zależności pomiędzy prędkością liniową a prędkością kątową oraz zależności pomiędzy prędkością liniową i kątową a okresem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C7ACD" w:rsidRPr="00895929" w:rsidTr="00092E68">
        <w:tc>
          <w:tcPr>
            <w:tcW w:w="14283" w:type="dxa"/>
            <w:gridSpan w:val="5"/>
          </w:tcPr>
          <w:p w:rsidR="008C7ACD" w:rsidRPr="00895929" w:rsidRDefault="008C7ACD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b/>
                <w:sz w:val="24"/>
                <w:szCs w:val="24"/>
              </w:rPr>
              <w:t>Dział 3. Dynamika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pojęcie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masa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siła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jednostki masy i siły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siłę ciężkości i ciężar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definiuje równowagę sił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równowagi sił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pojęcie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bezwładność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formułuje pierwszą zasadę dynamiki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obowiązywania pierwszej zasady dynamiki w życiu codziennym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inercjalne i nieinercjalne układy odniesienia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inercjalnych i nieinercjalnych układów odniesienia</w:t>
            </w:r>
          </w:p>
          <w:p w:rsidR="00D320EF" w:rsidRPr="00771908" w:rsidRDefault="00D320EF" w:rsidP="00895929">
            <w:pPr>
              <w:pStyle w:val="Wypunktowanie"/>
              <w:spacing w:line="240" w:lineRule="auto"/>
              <w:ind w:left="212" w:hanging="219"/>
              <w:jc w:val="lef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71908">
              <w:rPr>
                <w:rFonts w:ascii="Calibri" w:hAnsi="Calibri" w:cs="Calibri"/>
                <w:color w:val="FF0000"/>
                <w:sz w:val="24"/>
                <w:szCs w:val="24"/>
              </w:rPr>
              <w:t>podaje przykłady działania bezwładności w życiu codziennym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9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określa siłę jako wielkość wektorową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9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wyznacza siłę wypadkową dla danych dwóch sił składowych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9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opisuje siłę ciężkości i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ciężar ciała przy powierzchni Ziemi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9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zjawisko równowagi sił, przedstawia równowagę sił za pomocą wektorów</w:t>
            </w:r>
          </w:p>
          <w:p w:rsidR="00D320EF" w:rsidRPr="00771908" w:rsidRDefault="00D320EF" w:rsidP="00895929">
            <w:pPr>
              <w:pStyle w:val="Wypunktowanie"/>
              <w:spacing w:line="240" w:lineRule="auto"/>
              <w:ind w:left="219" w:hanging="219"/>
              <w:jc w:val="lef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71908">
              <w:rPr>
                <w:rFonts w:ascii="Calibri" w:hAnsi="Calibri" w:cs="Calibri"/>
                <w:color w:val="FF0000"/>
                <w:sz w:val="24"/>
                <w:szCs w:val="24"/>
              </w:rPr>
              <w:t>wskazuje masę jako miarę bezwładności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9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 znaczenie pierwszej zasady dynamiki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9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przedstawia graficznie siły działające na ciało z zgodnie z pierwszą zasadą dynamiki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172" w:hanging="17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wyznacza siłę wypadkową dla trzech i więcej sił składowych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172" w:hanging="17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oblicza siłę ciężkości i ciężar ciała przy powierzchni Ziemi w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sytuacjach typowych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172" w:hanging="17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wyznacza wektor siły tak, aby w zadanym układzie zaszła równowaga sił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172" w:hanging="17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stosuje pierwszą zasadę dynamiki do analizy ruchu ciała w sytuacjach typowych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wyznacza siłę będąca wypadkową sił danych w sytuacjach problemowych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oblicza siłę ciężkości i ciężar ciała przy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powierzchni ziemi w sytuacjach problemowych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stosuje pierwszą zasadę dynamiki do analizy ruchu ciała w sytuacjach problemowych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stosuje twierdzenie sinusów i cosinusów do obliczania wartości sił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definiuje pęd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wyprowadza zależność pomiędzy siłą a pędem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color w:val="000000"/>
                <w:sz w:val="24"/>
                <w:szCs w:val="24"/>
              </w:rPr>
            </w:pPr>
            <w:r w:rsidRPr="00895929">
              <w:rPr>
                <w:rFonts w:cs="Calibri"/>
                <w:color w:val="000000"/>
                <w:sz w:val="24"/>
                <w:szCs w:val="24"/>
              </w:rPr>
              <w:lastRenderedPageBreak/>
              <w:t>definiuje środek masy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color w:val="000000"/>
                <w:sz w:val="24"/>
                <w:szCs w:val="24"/>
              </w:rPr>
            </w:pPr>
            <w:r w:rsidRPr="00895929">
              <w:rPr>
                <w:rFonts w:cs="Calibri"/>
                <w:color w:val="000000"/>
                <w:sz w:val="24"/>
                <w:szCs w:val="24"/>
              </w:rPr>
              <w:t>wyznacza środek masy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color w:val="000000"/>
                <w:sz w:val="24"/>
                <w:szCs w:val="24"/>
              </w:rPr>
              <w:t>formułuje pierwszą zasadę dynamiki dla środka masy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formułuje słownie oraz zapisuje za pomocą wzoru drugą zasadę dynamiki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jednostkę siły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formułuje trzecią zasadę dynamiki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podaje przykłady obowiązywania trzeciej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zasady dynamiki w życiu codziennym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ind w:left="22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ind w:left="222" w:hanging="22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zapisuje za pomocą wzoru i wyjaśnia drugą zasadę dynamiki </w:t>
            </w:r>
          </w:p>
          <w:p w:rsidR="00D320EF" w:rsidRPr="00895929" w:rsidRDefault="00D320EF" w:rsidP="00895929">
            <w:pPr>
              <w:pStyle w:val="Wypunktowanie"/>
              <w:ind w:left="222" w:hanging="22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jednostkę siły za pomocą jednostek podstawo</w:t>
            </w:r>
            <w:bookmarkStart w:id="1" w:name="MTBlankEqn"/>
            <w:r w:rsidRPr="00895929">
              <w:rPr>
                <w:rFonts w:ascii="Calibri" w:hAnsi="Calibri" w:cs="Calibri"/>
                <w:sz w:val="24"/>
                <w:szCs w:val="24"/>
              </w:rPr>
              <w:t xml:space="preserve">wych układu SI; </w:t>
            </w:r>
            <w:r w:rsidR="00F33AD0" w:rsidRPr="00895929">
              <w:rPr>
                <w:rFonts w:ascii="Calibri" w:hAnsi="Calibri"/>
                <w:noProof/>
                <w:position w:val="-20"/>
                <w:sz w:val="24"/>
                <w:szCs w:val="24"/>
              </w:rPr>
              <w:drawing>
                <wp:inline distT="0" distB="0" distL="0" distR="0">
                  <wp:extent cx="828675" cy="3429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D320EF" w:rsidRPr="00895929" w:rsidRDefault="00D320EF" w:rsidP="00895929">
            <w:pPr>
              <w:pStyle w:val="Wypunktowanie"/>
              <w:ind w:left="222" w:hanging="22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wyjaśnia znaczenie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trzeciej zasady dynamiki</w:t>
            </w:r>
          </w:p>
          <w:p w:rsidR="00D320EF" w:rsidRPr="00895929" w:rsidRDefault="00D320EF" w:rsidP="00895929">
            <w:pPr>
              <w:pStyle w:val="Wypunktowanie"/>
              <w:ind w:left="222" w:hanging="22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formułuje wnioski płynące z trzeciej zasady dynamiki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ind w:left="22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ind w:left="222" w:hanging="22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wykorzystuje drugą zasadę dynamiki do obliczania wartości siły działającej na ciało poruszające się z danym przyspieszeniem oraz do obliczania przyspieszenia ciała poruszającego się pod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wpływem danej siły</w:t>
            </w:r>
          </w:p>
          <w:p w:rsidR="00D320EF" w:rsidRPr="00895929" w:rsidRDefault="00D320EF" w:rsidP="00895929">
            <w:pPr>
              <w:pStyle w:val="Wypunktowanie"/>
              <w:ind w:left="222" w:hanging="22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parametry ruchu oraz wartości sił działających na ciało w sytuacjach typowych</w:t>
            </w:r>
          </w:p>
          <w:p w:rsidR="00D320EF" w:rsidRPr="00895929" w:rsidRDefault="00D320EF" w:rsidP="00895929">
            <w:pPr>
              <w:pStyle w:val="Wypunktowanie"/>
              <w:ind w:left="222" w:hanging="22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wykorzystuje zasady dynamiki do graficznego przedstawiania sił działających na ciało w sytuacjach typowych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229" w:hanging="22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stosuje zasady dynamiki w sytuacjach problemowych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229" w:hanging="22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parametry ruchu oraz wartości sił działających na ciało w sytuacjach problemowych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229" w:hanging="22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wykorzystuje zasady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dynamiki do graficznego przedstawiania sił działających na ciało w sytuacjach problemowych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przedstawia graficznie rozkład sił działających na ciało umieszczone na równi pochyłej i oblicza parametry 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color w:val="000000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rozwiązuje zadania problemowe wykraczające poza wymagania </w:t>
            </w:r>
            <w:r w:rsidRPr="00895929">
              <w:rPr>
                <w:rFonts w:cs="Calibri"/>
                <w:sz w:val="24"/>
                <w:szCs w:val="24"/>
              </w:rPr>
              <w:lastRenderedPageBreak/>
              <w:t>dopełniające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siłę tarcia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tarcie statyczne i kinetyczne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działania sił tarcia w życiu codziennym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tarcie poślizgowe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siły oporu ośrodka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prędkość graniczną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wartość siły tarcia w sytuacjach typowych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 zależność siły tarcia od siły wywołującej ruch i przedstawia tę zależność na wykresie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 znaczenie współczynnika tarcia statycznego i tarcia kinetycznego oraz zależność miedzy nimi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wymienia czynniki mające wpływ na wartości sił tarcia i oporu ośrodka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wymienia sposoby redukcji oraz zwiększania tarcia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podaje przykłady sytuacji, w których tarcie i opór ośrodka jest zjawiskiem pożądanym i przeciwnie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wartość współczynnika tarcia w sytuacjach typowych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uwzględnia siłę tarcia w równaniach sił w sytuacjach typowych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 znaczenie wartości prędkości granicznej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dostrzega działanie praw fizyki w życiu codziennym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wartość siły tarcia oraz współczynnika tarcia w sytuacjach problemowych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uwzględnia siłę tarcia w równaniach sił w sytuacjach problemowych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77" w:hanging="28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wyjaśnia znaczenie praw fizyki w życiu codziennym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planuje i samodzielnie wykonuje doświadczenie badające współczynnik tarcia statycznego i kinetycznego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inercjalnego i nieinercjalnego układu odniesienia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siłę bezwładności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siłę nacisku i siłę sprężystości podłoża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siły rzeczywiste i pozorne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działania siły bezwładności w życiu codziennym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wskazuje na siły działające na to samo ciało w różnych układach odniesienia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wskazuje siłę nacisku i siłę sprężystości podłoża w sytuacjach typowych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występowania stanu przeciążenia, niedociążenia i nieważkości w życiu codziennym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wartość siły bezwładności w sytuacjach typowych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demonstruje działanie siły bezwładności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wskazuje siłę nacisku i siłę sprężystości podłoża w sytuacjach problemowych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wartości siły bezwładności oraz parametrów ruchu w sytuacjach problemowych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planuje i samodzielnie wykonuje doświadczenie obrazujące działanie siły bezwładności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siłę dośrodkową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siłę bezwładności odśrodkowej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podaje przykłady działania siły bezwładności odśrodkowej w życiu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codziennym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 znaczenie siły dośrodkowej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zapisuje zależności pomiędzy siłą dośrodkową a prędkością liniową, częstotliwością i okresem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oblicza wartość siły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dośrodkowej dla zadanego ruchu po okręgu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wyjaśnia różnice pomiędzy siłą dośrodkową i siłą bezwładności odśrodkowej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określa wartość siły bezwładności odśrodkowej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wartości parametrów ruchu po okręgu przy znanej wielkości siły dośrodkowej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oblicza wartości sił działających oraz w sytuacjach problemowych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wyprowadza zależności pomiędzy siłą dośrodkową a szybkością liniową i kątową, częstotliwością i okresem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rozwiązuje zadania problemowe wykraczające poza </w:t>
            </w:r>
            <w:r w:rsidRPr="00895929">
              <w:rPr>
                <w:rFonts w:cs="Calibri"/>
                <w:sz w:val="24"/>
                <w:szCs w:val="24"/>
              </w:rPr>
              <w:lastRenderedPageBreak/>
              <w:t>wymagania dopełniające</w:t>
            </w:r>
          </w:p>
        </w:tc>
      </w:tr>
      <w:tr w:rsidR="008C7ACD" w:rsidRPr="00895929" w:rsidTr="00092E68">
        <w:tc>
          <w:tcPr>
            <w:tcW w:w="14283" w:type="dxa"/>
            <w:gridSpan w:val="5"/>
          </w:tcPr>
          <w:p w:rsidR="008C7ACD" w:rsidRPr="00895929" w:rsidRDefault="008C7ACD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b/>
                <w:sz w:val="24"/>
                <w:szCs w:val="24"/>
              </w:rPr>
              <w:lastRenderedPageBreak/>
              <w:t>Dział 4. Praca, moc i energia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pracę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zna jednostkę pracy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moc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zna jednostkę mocy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wykonywania pracy w sensie fizycznym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9" w:hanging="218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 xml:space="preserve">opisuje jednostkę pracy za pomocą jednostek podstawowych układu SI </w:t>
            </w:r>
            <w:r w:rsidR="00F33AD0" w:rsidRPr="00895929">
              <w:rPr>
                <w:rFonts w:ascii="Calibri" w:hAnsi="Calibri"/>
                <w:noProof/>
                <w:position w:val="-20"/>
                <w:sz w:val="24"/>
                <w:szCs w:val="24"/>
              </w:rPr>
              <w:drawing>
                <wp:inline distT="0" distB="0" distL="0" distR="0">
                  <wp:extent cx="1400175" cy="3619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9" w:hanging="218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rozumie znaczenie pojęcia pracy jako sposobu przekazywania energii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9" w:hanging="218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oblicza wartość wykonanej pracy przez siłę działającą równolegle do przesunięcia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9" w:hanging="218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oblicza wartość mocy w sytuacjach typowych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9" w:hanging="218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definiuje 1 wat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29" w:hanging="218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lastRenderedPageBreak/>
              <w:t xml:space="preserve">opisuje jednostkę mocy za pomocą jednostek podstawowych układu SI </w:t>
            </w:r>
            <w:r w:rsidR="00F33AD0" w:rsidRPr="00895929">
              <w:rPr>
                <w:rFonts w:ascii="Calibri" w:hAnsi="Calibri"/>
                <w:noProof/>
                <w:position w:val="-20"/>
                <w:sz w:val="24"/>
                <w:szCs w:val="24"/>
              </w:rPr>
              <w:drawing>
                <wp:inline distT="0" distB="0" distL="0" distR="0">
                  <wp:extent cx="1181100" cy="3429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warunki, w których wykonana praca jest równa zero oraz w których jest ujemna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siłę średnią przy liniowej zmianie wartości siły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wyznacza wartości pracy, siły działającej i przesunięcia w sytuacjach problemowych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wykorzystuje pojęcie mocy do obliczania wartości siły działającej, pracy i parametry ruchu w sytuacjach typowych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wartość wykonanej pracy przy różnych kierunkach działającej siły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wyznacza wartości pracy, siły działającej i przesunięcia w sytuacjach problemowych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wartość mocy, siły działającej, pracy i parametry ruchu w sytuacjach problemowych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wyprowadza zależność pomiędzy pracą i pędem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wyprowadza zależności pomiędzy mocą a siłą, prędkością i pędem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wyjaśnia pojęcie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energia mechaniczna</w:t>
            </w:r>
            <w:r w:rsidRPr="00895929">
              <w:rPr>
                <w:rFonts w:ascii="Calibri" w:hAnsi="Calibri" w:cs="Calibri"/>
                <w:sz w:val="24"/>
                <w:szCs w:val="24"/>
              </w:rPr>
              <w:t>, podaje jej jednostkę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pojęcie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energia potencjalna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pojęcie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energia potencjalna ciężkości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pojęcie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energia potencjalna sprężystości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ciał obdarzonych energią potencjalną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1 dżul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 związek miedzy zmianą energii mechanicznej a wykonaną pracą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energię potencjalną ciężkości w pobliżu powierzchni Ziemi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zapisuje wzór na energię potencjalną ciężkości w pobliżu powierzchni Ziemi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zapisuje wzór na energię potencjalną sprężystości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wartość energii ciała potencjalnej w sytuacjach typowych</w:t>
            </w:r>
          </w:p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 zależność wielkości energii potencjalnej od układu odniesienia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wartości energii potencjalnej, pracy, sił działających oraz parametrów ruchu w sytuacjach typowych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wartość zmiany energii potencjalnej jako wielkości wykonanej pracy z uwzględnieniem pracy o wartości dodatniej i ujemnej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150" w:hanging="15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oblicza wartości energii potencjalnej, pracy, sił działających oraz parametrów ruchu w sytuacjach problemowych 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pojęcie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energia kinetyczna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podaje przykłady ciał obdarzonych energią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kinetyczną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wzór na energię kinetyczną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definiuje całkowitą energię mechaniczną ciała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formułuje zasadę zachowania energii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podaje przykłady zmiany energii mechanicznej poprzez wykonanie pracy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obowiązywania zasady zachowania energii w życiu codziennym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wartość energii kinetycznej w sytuacjach prostych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 xml:space="preserve">oblicza całkowitą </w:t>
            </w:r>
            <w:r w:rsidRPr="00895929">
              <w:rPr>
                <w:rFonts w:ascii="Calibri" w:hAnsi="Calibri"/>
                <w:sz w:val="24"/>
                <w:szCs w:val="24"/>
              </w:rPr>
              <w:lastRenderedPageBreak/>
              <w:t>energię mechaniczną ciała w sytuacjach typowych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energię kinetyczną, masę oraz parametry ruchu ciała w sytuacjach typowych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wyznacza wielkość pracy wykonanej przez siłę zewnętrzną nad ciałem o danej masie poruszającym się z dana szybkością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oblicza całkowitą energię mechaniczną ciała w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 sytuacjach problemowych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zmianę energii mechanicznej układu w zależności od wartości pracy wykonanej przez siły zewnętrzne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wykorzystuje zasadę zachowania energii w sytuacjach typowych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oblicza energię kinetyczną, masę oraz parametry ruchu ciała w sytuacjach </w:t>
            </w:r>
            <w:r w:rsidRPr="00895929">
              <w:rPr>
                <w:rFonts w:cs="Calibri"/>
                <w:sz w:val="24"/>
                <w:szCs w:val="24"/>
              </w:rPr>
              <w:lastRenderedPageBreak/>
              <w:t>problemowych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wykorzystuje zasadę zachowania energii w sytuacjach problemowych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wyprowadza wzór na energię kinetyczna ciała o zadanej masie, poruszającego się z </w:t>
            </w:r>
            <w:r w:rsidRPr="00895929">
              <w:rPr>
                <w:rFonts w:cs="Calibri"/>
                <w:sz w:val="24"/>
                <w:szCs w:val="24"/>
              </w:rPr>
              <w:lastRenderedPageBreak/>
              <w:t>dana szybkością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wyprowadza zależność pomiędzy energią kinetyczną a pędem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planuje i samodzielnie wykonuje doświadczenie obrazujące związek miedzy zmianą energii mechanicznej a wykonaną pracą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2" w:hanging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pojęcie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maszyna prosta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2" w:hanging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pojęcia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dźwignia jednostronna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dźwignia dwustronna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2" w:hanging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pojęcia: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krążki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kołowrót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klin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 oraz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przekładnia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2" w:hanging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zastosowań maszyn prostych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38" w:hanging="23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dźwignię jednostronną i dwustronną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38" w:hanging="23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krążki, kołowrót, klin oraz przekładnie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38" w:hanging="23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formułuje i wyjaśniać zasadę niezmienności pracy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94" w:hanging="29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wykorzystuje pojęcia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siła</w:t>
            </w:r>
            <w:r w:rsidRPr="00895929">
              <w:rPr>
                <w:rFonts w:ascii="Calibri" w:hAnsi="Calibri" w:cs="Calibri"/>
                <w:sz w:val="24"/>
                <w:szCs w:val="24"/>
              </w:rPr>
              <w:t>, p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raca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moc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>energia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 oraz zasady dynamiki do opisu działania maszyn prostych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07" w:hanging="20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wyznacza siły działające w maszyn prostych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07" w:hanging="20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wartości sił działających w maszynach prostych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63" w:hanging="26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wyprowadza zależności opisujące siły działające w maszynach prostych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63" w:hanging="26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ind w:left="312" w:hanging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formułuje warunki równowagi dźwigni</w:t>
            </w:r>
          </w:p>
          <w:p w:rsidR="00D320EF" w:rsidRPr="00895929" w:rsidRDefault="00D320EF" w:rsidP="00895929">
            <w:pPr>
              <w:pStyle w:val="Wypunktowanie"/>
              <w:ind w:left="312" w:hanging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organizuje stanowisko pomiarowe zgodnie z instrukcją</w:t>
            </w:r>
          </w:p>
          <w:p w:rsidR="00D320EF" w:rsidRPr="00895929" w:rsidRDefault="00D320EF" w:rsidP="00895929">
            <w:pPr>
              <w:pStyle w:val="Wypunktowanie"/>
              <w:ind w:left="312" w:hanging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zapisuje wyniki pomiarów 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wykonuje doświadczenie zgodnie z instrukcją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dokonuje niezbędnych pomiarów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oblicza podstawowe niepewności pomiarowe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ind w:left="294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planuje doświadczenie, prawidłowo przeprowadza pomiary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94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opracowuje wyniki pomiarów, dokonuje niezbędnych obliczeń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formułuje proste teorie fizyczne na podstawie wniosków z przeprowadzonych badań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porównuje wyniki przeprowadzonych pomiarów z przewidywaniami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rozwiązuje zadania problemowe wykraczające poza wymagania dopełniające</w:t>
            </w:r>
          </w:p>
        </w:tc>
      </w:tr>
      <w:tr w:rsidR="008C7ACD" w:rsidRPr="00895929" w:rsidTr="00092E68">
        <w:tc>
          <w:tcPr>
            <w:tcW w:w="14283" w:type="dxa"/>
            <w:gridSpan w:val="5"/>
          </w:tcPr>
          <w:p w:rsidR="008C7ACD" w:rsidRPr="00895929" w:rsidRDefault="008C7ACD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b/>
                <w:sz w:val="24"/>
                <w:szCs w:val="24"/>
              </w:rPr>
              <w:lastRenderedPageBreak/>
              <w:t>Dział 5. Grawitacja i elementy astronomii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6" w:hanging="17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4" w:hanging="354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zna historyczne poglądy na temat budowy Układu Słonecznego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4" w:hanging="354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definiuje siłę grawitacji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4" w:hanging="3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formułuje prawo powszechnego ciążenia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4" w:hanging="3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podaje działania siły grawitacji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54" w:hanging="3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 xml:space="preserve">definiuje pojęcia: </w:t>
            </w:r>
            <w:r w:rsidRPr="00895929">
              <w:rPr>
                <w:rFonts w:ascii="Calibri" w:hAnsi="Calibri"/>
                <w:i/>
                <w:sz w:val="24"/>
                <w:szCs w:val="24"/>
              </w:rPr>
              <w:t>przyspieszenie grawitacyjne</w:t>
            </w:r>
            <w:r w:rsidRPr="00895929">
              <w:rPr>
                <w:rFonts w:ascii="Calibri" w:hAnsi="Calibri"/>
                <w:sz w:val="24"/>
                <w:szCs w:val="24"/>
              </w:rPr>
              <w:t xml:space="preserve"> i </w:t>
            </w:r>
            <w:r w:rsidRPr="00895929">
              <w:rPr>
                <w:rFonts w:ascii="Calibri" w:hAnsi="Calibri"/>
                <w:i/>
                <w:sz w:val="24"/>
                <w:szCs w:val="24"/>
              </w:rPr>
              <w:t>stała grawitacji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zapisuje wzór na siłę grawitacji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wyjaśnia powszechność działania siły grawitacji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podaje wartość Ziemskiego przywieszenia grawitacyjnego i stałej grawitacji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oblicza siłę grawitacji w sytuacjach typowych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opisuje siłę grawitacji jako siłę dośrodkową podczas ruchu ciał niebieskich po orbitach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00" w:hanging="300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wykorzystuje prawo powszechnego ciążenia w sytuacjach typowych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oznacza graficznie siły działające na ciało w polu grawitacyjnym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wykorzystuje prawo powszechnego ciążenia w sytuacjach problemowych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omawia rys historyczny teorii budowy wszechświata i porównuje nieścisłości historycznych teorii budowy wszechświata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31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definiuje pojęcie </w:t>
            </w:r>
            <w:r w:rsidRPr="00895929">
              <w:rPr>
                <w:rFonts w:ascii="Calibri" w:hAnsi="Calibri" w:cs="Calibri"/>
                <w:i/>
                <w:sz w:val="24"/>
                <w:szCs w:val="24"/>
              </w:rPr>
              <w:t xml:space="preserve">satelita </w:t>
            </w:r>
            <w:r w:rsidRPr="00895929">
              <w:rPr>
                <w:rFonts w:ascii="Calibri" w:hAnsi="Calibri" w:cs="Calibri"/>
                <w:sz w:val="24"/>
                <w:szCs w:val="24"/>
              </w:rPr>
              <w:t>(sztuczny i naturalny)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31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podaje przykłady satelitów Ziemi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31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opisuje zjawiska nieważkości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31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przykłady występowania stanu nieważkości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31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oblicza szybkość orbitalną satelitów,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promień orbity oraz okres obiegu w sytuacjach typowych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31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oznacza siły działające na ciało </w:t>
            </w:r>
            <w:r w:rsidRPr="00895929">
              <w:rPr>
                <w:rFonts w:ascii="Calibri" w:hAnsi="Calibri"/>
                <w:sz w:val="24"/>
                <w:szCs w:val="24"/>
              </w:rPr>
              <w:t>zgodnie z pierwszą zasadą dynamiki</w:t>
            </w:r>
            <w:r w:rsidRPr="0089592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wykorzystuje zjawiska nieważkości w sytuacjach typowych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31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oznacza graficznie siły działające na ciało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zgodnie z pierwszą zasadą dynamiki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31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oznacza graficznie siły działające na ciało w układzie odniesienia poruszający się ze stałym przyspieszeniem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31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wyjaśnia zjawiska nieważkości na podstawie zasad dynamiki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31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wpływ zjawiska nieważkości na organizm ludzki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26" w:hanging="226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wykorzystuje zjawiska nieważkości w </w:t>
            </w:r>
            <w:r w:rsidRPr="00895929">
              <w:rPr>
                <w:rFonts w:cs="Calibri"/>
                <w:sz w:val="24"/>
                <w:szCs w:val="24"/>
              </w:rPr>
              <w:lastRenderedPageBreak/>
              <w:t>sytuacjach problemowych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opisuje siły działające oraz stany nieważkości </w:t>
            </w:r>
            <w:r w:rsidRPr="00895929">
              <w:rPr>
                <w:rFonts w:cs="Calibri"/>
                <w:sz w:val="24"/>
                <w:szCs w:val="24"/>
              </w:rPr>
              <w:lastRenderedPageBreak/>
              <w:t>w statku kosmicznym podczas startu, lądowania i ruchu po orbicie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planuje i wykonuje doświadczenie ukazujące stan nieważkości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84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omawia geocentryczne i heliocentryczne teorie budowy Układu Słonecznego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84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opisuje osiągnięcia Galileusza i Keplera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84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wymienia we właściwej kolejności planety Układu Słonecznego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opisuje położenie Ziemi w Układzie Słonecznym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84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 xml:space="preserve">wymienia i definiuje jednostki długości używane w astronomii: jednostkę astronomiczną, </w:t>
            </w:r>
            <w:r w:rsidRPr="00895929">
              <w:rPr>
                <w:rFonts w:ascii="Calibri" w:hAnsi="Calibri"/>
                <w:sz w:val="24"/>
                <w:szCs w:val="24"/>
              </w:rPr>
              <w:lastRenderedPageBreak/>
              <w:t>rok świetlny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porównuje </w:t>
            </w:r>
            <w:r w:rsidRPr="00895929">
              <w:rPr>
                <w:rFonts w:ascii="Calibri" w:hAnsi="Calibri"/>
                <w:sz w:val="24"/>
                <w:szCs w:val="24"/>
              </w:rPr>
              <w:t>geocentryczne i heliocentryczne teorie budowy Układu Słonecznego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wpływ badan Galileusza i Keplera na poglądy na temat budowy Układu Słonecznego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budowę Układu Słonecznego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Słońce jako gwiazdę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 xml:space="preserve">podaje najważniejsze </w:t>
            </w: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cechy planet Układu Słonecznego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248" w:hanging="24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podaje zależność pomiędzy jednostkami długości używanymi w astronomii (jednostką astronomiczną, rokiem świetlnym) a metrem</w:t>
            </w:r>
          </w:p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31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wymienia błędy i niezgodności historycznych teorii budowy Układu Słonecznego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31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opisuje obrazowo wielkości obiektów w Układzie Słonecznym i odległości miedzy nimi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31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posługuje się jednostkami długości używanymi w astronomii: jednostką astronomiczną, rokiem świetlnym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31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zamienia jednostki długości używane w astronomii na kilometry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lastRenderedPageBreak/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opisuje pasy planetoid oraz planety karłowate jako obiekty Układu Słonecznego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definiuje pojęcie </w:t>
            </w:r>
            <w:r w:rsidRPr="00895929">
              <w:rPr>
                <w:rFonts w:cs="Calibri"/>
                <w:i/>
                <w:sz w:val="24"/>
                <w:szCs w:val="24"/>
              </w:rPr>
              <w:t>kometa</w:t>
            </w:r>
            <w:r w:rsidRPr="00895929">
              <w:rPr>
                <w:rFonts w:cs="Calibri"/>
                <w:sz w:val="24"/>
                <w:szCs w:val="24"/>
              </w:rPr>
              <w:t xml:space="preserve">, </w:t>
            </w:r>
            <w:r w:rsidRPr="00895929">
              <w:rPr>
                <w:rFonts w:cs="Calibri"/>
                <w:i/>
                <w:sz w:val="24"/>
                <w:szCs w:val="24"/>
              </w:rPr>
              <w:t>meteorolita</w:t>
            </w:r>
            <w:r w:rsidRPr="00895929">
              <w:rPr>
                <w:rFonts w:cs="Calibri"/>
                <w:sz w:val="24"/>
                <w:szCs w:val="24"/>
              </w:rPr>
              <w:t xml:space="preserve">, </w:t>
            </w:r>
            <w:r w:rsidRPr="00895929">
              <w:rPr>
                <w:rFonts w:cs="Calibri"/>
                <w:i/>
                <w:sz w:val="24"/>
                <w:szCs w:val="24"/>
              </w:rPr>
              <w:t>asteroida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64" w:hanging="218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wyjaśnia pojęcie </w:t>
            </w:r>
            <w:r w:rsidRPr="00895929">
              <w:rPr>
                <w:rFonts w:cs="Calibri"/>
                <w:i/>
                <w:sz w:val="24"/>
                <w:szCs w:val="24"/>
              </w:rPr>
              <w:t>ekliptyka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64" w:hanging="218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wskazuje położenie planet Układu Słonecznego na mapie nieba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planuje i wykonuje obserwacje nieba, wskazuje widoczne obiekty astronomiczne</w:t>
            </w:r>
          </w:p>
        </w:tc>
      </w:tr>
      <w:tr w:rsidR="00D320EF" w:rsidRPr="00895929" w:rsidTr="00895929">
        <w:tc>
          <w:tcPr>
            <w:tcW w:w="2943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5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 xml:space="preserve">definiuje pojęcie </w:t>
            </w:r>
            <w:r w:rsidRPr="00895929">
              <w:rPr>
                <w:rFonts w:ascii="Calibri" w:hAnsi="Calibri"/>
                <w:i/>
                <w:sz w:val="24"/>
                <w:szCs w:val="24"/>
              </w:rPr>
              <w:t>galaktyka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5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 xml:space="preserve">definiuje pojęcie </w:t>
            </w:r>
            <w:r w:rsidRPr="00895929">
              <w:rPr>
                <w:rFonts w:ascii="Calibri" w:hAnsi="Calibri"/>
                <w:i/>
                <w:sz w:val="24"/>
                <w:szCs w:val="24"/>
              </w:rPr>
              <w:t>gwiazdozbiór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wymienia główne rodzaje galaktyk</w:t>
            </w:r>
          </w:p>
          <w:p w:rsidR="00D320EF" w:rsidRPr="00771908" w:rsidRDefault="00D320EF" w:rsidP="00895929">
            <w:pPr>
              <w:pStyle w:val="Wypunktowanie"/>
              <w:spacing w:line="240" w:lineRule="auto"/>
              <w:ind w:left="212" w:hanging="317"/>
              <w:jc w:val="lef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71908">
              <w:rPr>
                <w:rFonts w:ascii="Calibri" w:hAnsi="Calibri" w:cs="Calibri"/>
                <w:color w:val="FF0000"/>
                <w:sz w:val="24"/>
                <w:szCs w:val="24"/>
              </w:rPr>
              <w:t>jest świadomy zjawiska rozszerzania się Wszechświata</w:t>
            </w:r>
          </w:p>
        </w:tc>
        <w:tc>
          <w:tcPr>
            <w:tcW w:w="2835" w:type="dxa"/>
            <w:shd w:val="clear" w:color="auto" w:fill="auto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cechy głównych typów galaktyk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212" w:hanging="21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opisuje budowę Drogi Mlecznej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opisuje obrazowo wielkości obiektów w Galaktyce i odległości między nimi</w:t>
            </w:r>
          </w:p>
          <w:p w:rsidR="00D320EF" w:rsidRPr="00895929" w:rsidRDefault="00D320EF" w:rsidP="00895929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/>
                <w:sz w:val="24"/>
                <w:szCs w:val="24"/>
              </w:rPr>
              <w:t>opisuje położenie Układ</w:t>
            </w:r>
            <w:r w:rsidRPr="00895929">
              <w:rPr>
                <w:rFonts w:ascii="Calibri" w:hAnsi="Calibri"/>
                <w:strike/>
                <w:sz w:val="24"/>
                <w:szCs w:val="24"/>
              </w:rPr>
              <w:t>y</w:t>
            </w:r>
            <w:r w:rsidRPr="00895929">
              <w:rPr>
                <w:rFonts w:ascii="Calibri" w:hAnsi="Calibri"/>
                <w:color w:val="FF0000"/>
                <w:sz w:val="24"/>
                <w:szCs w:val="24"/>
              </w:rPr>
              <w:t>u</w:t>
            </w:r>
            <w:r w:rsidRPr="00895929">
              <w:rPr>
                <w:rFonts w:ascii="Calibri" w:hAnsi="Calibri"/>
                <w:sz w:val="24"/>
                <w:szCs w:val="24"/>
              </w:rPr>
              <w:t xml:space="preserve"> Słonecznego w Galaktyce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95929">
              <w:rPr>
                <w:rFonts w:ascii="Calibri" w:hAnsi="Calibri" w:cs="Calibri"/>
                <w:sz w:val="24"/>
                <w:szCs w:val="24"/>
              </w:rPr>
              <w:t>Uczeń: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opisuje rozmiary Galaktyki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wymienia obiekty w Galaktyce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opisuje model Wielkiego Wybuchu</w:t>
            </w:r>
          </w:p>
        </w:tc>
        <w:tc>
          <w:tcPr>
            <w:tcW w:w="2835" w:type="dxa"/>
          </w:tcPr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i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wyjaśnia pojęcia: </w:t>
            </w:r>
            <w:r w:rsidRPr="00895929">
              <w:rPr>
                <w:rFonts w:cs="Calibri"/>
                <w:i/>
                <w:sz w:val="24"/>
                <w:szCs w:val="24"/>
              </w:rPr>
              <w:t>gromada gwiazd</w:t>
            </w:r>
            <w:r w:rsidRPr="00895929">
              <w:rPr>
                <w:rFonts w:cs="Calibri"/>
                <w:sz w:val="24"/>
                <w:szCs w:val="24"/>
              </w:rPr>
              <w:t xml:space="preserve">, </w:t>
            </w:r>
            <w:r w:rsidRPr="00895929">
              <w:rPr>
                <w:rFonts w:cs="Calibri"/>
                <w:i/>
                <w:sz w:val="24"/>
                <w:szCs w:val="24"/>
              </w:rPr>
              <w:t>gromada galaktyk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wskazuje położenie Drogi Mlecznej na mapie nieba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>wymienia przykłady innych galaktyk</w:t>
            </w:r>
          </w:p>
          <w:p w:rsidR="00D320EF" w:rsidRPr="00895929" w:rsidRDefault="00D320EF" w:rsidP="008959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895929">
              <w:rPr>
                <w:rFonts w:cs="Calibri"/>
                <w:sz w:val="24"/>
                <w:szCs w:val="24"/>
              </w:rPr>
              <w:t xml:space="preserve">podaje szacunkową prędkość, z jaką Układ Słoneczny obiega centrum Galaktyki </w:t>
            </w:r>
          </w:p>
        </w:tc>
      </w:tr>
    </w:tbl>
    <w:p w:rsidR="00D320EF" w:rsidRDefault="00D320EF" w:rsidP="00D320EF">
      <w:pPr>
        <w:pStyle w:val="Wypunktowanie"/>
        <w:numPr>
          <w:ilvl w:val="0"/>
          <w:numId w:val="0"/>
        </w:numPr>
        <w:jc w:val="left"/>
        <w:rPr>
          <w:rFonts w:ascii="Calibri" w:hAnsi="Calibri" w:cs="Calibri"/>
          <w:sz w:val="24"/>
          <w:szCs w:val="24"/>
        </w:rPr>
      </w:pPr>
    </w:p>
    <w:p w:rsidR="008C7ACD" w:rsidRPr="008C7ACD" w:rsidRDefault="008C7ACD" w:rsidP="008C7ACD">
      <w:pPr>
        <w:pStyle w:val="Wypunktowanie"/>
        <w:numPr>
          <w:ilvl w:val="0"/>
          <w:numId w:val="0"/>
        </w:numPr>
        <w:jc w:val="center"/>
        <w:rPr>
          <w:rFonts w:ascii="Calibri" w:hAnsi="Calibri" w:cs="Calibri"/>
          <w:b/>
          <w:sz w:val="24"/>
          <w:szCs w:val="24"/>
        </w:rPr>
      </w:pPr>
      <w:r w:rsidRPr="008C7ACD">
        <w:rPr>
          <w:rFonts w:ascii="Calibri" w:hAnsi="Calibri" w:cs="Calibri"/>
          <w:b/>
          <w:sz w:val="24"/>
          <w:szCs w:val="24"/>
        </w:rPr>
        <w:t>KLASA II</w:t>
      </w:r>
    </w:p>
    <w:p w:rsidR="008C7ACD" w:rsidRPr="00D320EF" w:rsidRDefault="008C7ACD" w:rsidP="00D320EF">
      <w:pPr>
        <w:pStyle w:val="Wypunktowanie"/>
        <w:numPr>
          <w:ilvl w:val="0"/>
          <w:numId w:val="0"/>
        </w:numPr>
        <w:jc w:val="left"/>
        <w:rPr>
          <w:rFonts w:ascii="Calibri" w:hAnsi="Calibri" w:cs="Calibri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835"/>
        <w:gridCol w:w="2835"/>
        <w:gridCol w:w="2835"/>
      </w:tblGrid>
      <w:tr w:rsidR="008C7ACD" w:rsidRPr="00092E68" w:rsidTr="00092E68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8C7ACD" w:rsidRPr="00092E68" w:rsidRDefault="008C7ACD" w:rsidP="00092E68">
            <w:pPr>
              <w:spacing w:after="0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92E68">
              <w:rPr>
                <w:rFonts w:cs="Calibri"/>
                <w:b/>
                <w:sz w:val="24"/>
                <w:szCs w:val="24"/>
              </w:rPr>
              <w:t>Ocena dopuszczająca</w:t>
            </w:r>
          </w:p>
          <w:p w:rsidR="008C7ACD" w:rsidRPr="00092E68" w:rsidRDefault="008C7ACD" w:rsidP="00092E68">
            <w:pPr>
              <w:spacing w:after="0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92E68">
              <w:rPr>
                <w:rFonts w:cs="Calibri"/>
                <w:b/>
                <w:sz w:val="24"/>
                <w:szCs w:val="24"/>
              </w:rPr>
              <w:t>Uczeń: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C7ACD" w:rsidRPr="00092E68" w:rsidRDefault="008C7ACD" w:rsidP="00092E68">
            <w:pPr>
              <w:spacing w:after="0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92E68">
              <w:rPr>
                <w:rFonts w:cs="Calibri"/>
                <w:b/>
                <w:sz w:val="24"/>
                <w:szCs w:val="24"/>
              </w:rPr>
              <w:t>Ocena dostateczna</w:t>
            </w:r>
          </w:p>
          <w:p w:rsidR="008C7ACD" w:rsidRPr="00092E68" w:rsidRDefault="008C7ACD" w:rsidP="00092E68">
            <w:pPr>
              <w:spacing w:after="0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92E68">
              <w:rPr>
                <w:rFonts w:cs="Calibri"/>
                <w:b/>
                <w:sz w:val="24"/>
                <w:szCs w:val="24"/>
              </w:rPr>
              <w:t>Uczeń: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C7ACD" w:rsidRPr="00092E68" w:rsidRDefault="008C7ACD" w:rsidP="00092E68">
            <w:pPr>
              <w:spacing w:after="0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92E68">
              <w:rPr>
                <w:rFonts w:cs="Calibri"/>
                <w:b/>
                <w:sz w:val="24"/>
                <w:szCs w:val="24"/>
              </w:rPr>
              <w:t>Ocena dobra</w:t>
            </w:r>
          </w:p>
          <w:p w:rsidR="008C7ACD" w:rsidRPr="00092E68" w:rsidRDefault="008C7ACD" w:rsidP="00092E68">
            <w:pPr>
              <w:spacing w:after="0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92E68">
              <w:rPr>
                <w:rFonts w:cs="Calibri"/>
                <w:b/>
                <w:sz w:val="24"/>
                <w:szCs w:val="24"/>
              </w:rPr>
              <w:t>Uczeń: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C7ACD" w:rsidRPr="00092E68" w:rsidRDefault="008C7ACD" w:rsidP="00092E68">
            <w:pPr>
              <w:spacing w:after="0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92E68">
              <w:rPr>
                <w:rFonts w:cs="Calibri"/>
                <w:b/>
                <w:sz w:val="24"/>
                <w:szCs w:val="24"/>
              </w:rPr>
              <w:t>Ocena bardzo dobra</w:t>
            </w:r>
          </w:p>
          <w:p w:rsidR="008C7ACD" w:rsidRPr="00092E68" w:rsidRDefault="008C7ACD" w:rsidP="00092E68">
            <w:pPr>
              <w:spacing w:after="0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92E68">
              <w:rPr>
                <w:rFonts w:cs="Calibri"/>
                <w:b/>
                <w:sz w:val="24"/>
                <w:szCs w:val="24"/>
              </w:rPr>
              <w:t>Uczeń: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C7ACD" w:rsidRPr="00092E68" w:rsidRDefault="008C7ACD" w:rsidP="00092E68">
            <w:pPr>
              <w:spacing w:after="0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92E68">
              <w:rPr>
                <w:rFonts w:cs="Calibri"/>
                <w:b/>
                <w:sz w:val="24"/>
                <w:szCs w:val="24"/>
              </w:rPr>
              <w:t>Ocena celująca</w:t>
            </w:r>
          </w:p>
          <w:p w:rsidR="008C7ACD" w:rsidRPr="00092E68" w:rsidRDefault="008C7ACD" w:rsidP="00092E68">
            <w:pPr>
              <w:spacing w:after="0"/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92E68">
              <w:rPr>
                <w:rFonts w:cs="Calibri"/>
                <w:b/>
                <w:sz w:val="24"/>
                <w:szCs w:val="24"/>
              </w:rPr>
              <w:t>Uczeń:</w:t>
            </w:r>
          </w:p>
        </w:tc>
      </w:tr>
      <w:tr w:rsidR="008C7ACD" w:rsidRPr="00092E68" w:rsidTr="00092E68">
        <w:tc>
          <w:tcPr>
            <w:tcW w:w="14283" w:type="dxa"/>
            <w:gridSpan w:val="5"/>
            <w:shd w:val="clear" w:color="auto" w:fill="auto"/>
          </w:tcPr>
          <w:p w:rsidR="008C7ACD" w:rsidRPr="00092E68" w:rsidRDefault="008C7ACD" w:rsidP="00092E68">
            <w:pPr>
              <w:pStyle w:val="Akapitzlist"/>
              <w:spacing w:after="0"/>
              <w:ind w:left="403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b/>
                <w:sz w:val="24"/>
                <w:szCs w:val="24"/>
              </w:rPr>
              <w:t>Dział 1: Prąd elektryczny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prąd elektryczny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definiuje natężenie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prądu elektrycznego oraz podaje jego jednostkę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wie, że do pomiaru natężenia prądu wykorzystuje się amperomierz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spacing w:line="240" w:lineRule="auto"/>
              <w:ind w:left="353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definiuje jednostkę ładunku elektrycznego na podstawie jednostki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natężenia prądu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353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korzysta z amperomierza do pomiaru natężenia prądu, prawidłowo odczytuje wynik pomiaru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353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prędkość dryfu i prędkość unoszenia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wyjaśnia mechanizm przepływu prądu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wykorzystuje pojęcie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natężenia prądu w sytuacjach typowych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prawidłowo włącza amperomierz w obwód elektryczny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wykorzystuje pojęcie natężenia prądu w sytuacjach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problemowych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03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lastRenderedPageBreak/>
              <w:t>zna rząd wielkości prędkości przepływu prądu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03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lastRenderedPageBreak/>
              <w:t>rozwiązuje zadania problemowe wykraczające poza wymagania dopełniające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definiuje pojęcie obwodu elektrycznego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napięcie w obwodzie elektrycznym i podaje jego jednostkę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wie, że do pomiaru natężenia prądu wykorzystuje się woltomierz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definiuje ogniwo 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spacing w:line="240" w:lineRule="auto"/>
              <w:ind w:left="39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zapisuje jednostkę napięcia za pomocą jednostek podstawowych układu SI</w:t>
            </w:r>
          </w:p>
          <w:p w:rsidR="008C7ACD" w:rsidRPr="00092E68" w:rsidRDefault="008C7ACD" w:rsidP="00092E68">
            <w:pPr>
              <w:pStyle w:val="Wypunktowanie"/>
              <w:ind w:left="39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korzysta z woltomierza do pomiaru napięcia elektrycznego, prawidłowo odczytuje wynik pomiaru</w:t>
            </w:r>
          </w:p>
          <w:p w:rsidR="008C7ACD" w:rsidRPr="00092E68" w:rsidRDefault="008C7ACD" w:rsidP="00092E68">
            <w:pPr>
              <w:pStyle w:val="Wypunktowanie"/>
              <w:ind w:left="39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podaje przykłady ogniw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posługuje się wartością napięcia w obwodzie elektrycznym w sytuacjach typowych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prawidłowo włącza woltomierz w obwód elektryczny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zasady łączenia ogniw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9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posługuje się wartością napięcia w obwodzie elektrycznym w sytuacjach problemowych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5"/>
              </w:numPr>
              <w:ind w:left="34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różne rodzaje ogniw i ich działanie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9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stosuje zasadę dodawania napięć w układzie ogniw połączonych szeregowo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03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opisuje równoległe połączenie ogniw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03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obwód elektryczny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wymienia podstawowe elementy obwodów elektrycznych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prawidłowo włącza mierniki w obwód elektryczny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stosuje zasady bezpieczeństwa przy pracy z obwodem elektrycznym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pojęcie pracy i mocy prądu elektrycznego, podaje ich jednostki w układzie SI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50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wymienia zasady projektowania obwodów elektrycznych</w:t>
            </w:r>
          </w:p>
          <w:p w:rsidR="008C7ACD" w:rsidRPr="00092E68" w:rsidRDefault="008C7ACD" w:rsidP="00092E68">
            <w:pPr>
              <w:pStyle w:val="Wypunktowanie"/>
              <w:ind w:left="50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zna symbole podstawowych elementów obwodów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elektrycznych</w:t>
            </w:r>
          </w:p>
          <w:p w:rsidR="008C7ACD" w:rsidRPr="00092E68" w:rsidRDefault="008C7ACD" w:rsidP="00092E68">
            <w:pPr>
              <w:pStyle w:val="Wypunktowanie"/>
              <w:ind w:left="50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wykorzystuje kilowatogodzinę jako jednostkę pracy prądu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17"/>
              </w:numPr>
              <w:ind w:left="43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rozpoznaje podstawowe elementy obwodów elektrycznych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17"/>
              </w:numPr>
              <w:ind w:left="43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prawidłowo odczytuje proste schematy elektryczne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17"/>
              </w:numPr>
              <w:spacing w:line="240" w:lineRule="auto"/>
              <w:ind w:left="43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wykorzystuje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zależności pomiędzy napięciem, natężeniem, pracą i mocą prądu w sytuacjach typowych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stosuje zasady projektowania obwodów elektrycznych w prostych sytuacjach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8"/>
              </w:numPr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rysuje proste schematy elektryczne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wykorzystuje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zależności pomiędzy napięciem, natężeniem, pracą i mocą prądu w sytuacjach problemowych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57" w:hanging="157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lastRenderedPageBreak/>
              <w:t>opisuje działanie ogniwa włączonego w obwód elektryczny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57" w:hanging="157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opisuje przepływ prądu w elektrolitach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57" w:hanging="157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 xml:space="preserve">wykorzystuje pojęcie mocy znamionowej odbiorników w obwodzie </w:t>
            </w:r>
            <w:r w:rsidRPr="00092E68">
              <w:rPr>
                <w:rFonts w:cs="Calibri"/>
                <w:sz w:val="24"/>
                <w:szCs w:val="24"/>
              </w:rPr>
              <w:lastRenderedPageBreak/>
              <w:t>elektrycznym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57" w:hanging="157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definiuje opór elektryczny i podaje jego jednostkę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formułuje prawo Ohma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0"/>
              </w:numPr>
              <w:ind w:left="-48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znaczenie oporu elektrycznego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opornik jako element obwodu elektrycznego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charakterystykę prądowo-napięciową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zapisuje jednostkę oporu elektrycznego za pomocą jednostek podstawowych układu SI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wykorzystuje prawo Ohma do obliczania oporu, napięcia, natężenia, pracy i mocy prądu elektrycznego w sytuacjach typowych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wykorzystuje prawo Ohma do obliczania oporu, napięcia, natężenia, pracy i mocy prądu elektrycznego w sytuacjach problemowych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techniczną metodę pomiaru oporu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spacing w:line="240" w:lineRule="auto"/>
              <w:ind w:left="157" w:hanging="1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opór elektryczny, korzystając z pojęć elektrycznej teorii budowy materii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157" w:hanging="1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formułuje pierwsze prawo Kirchhoffa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rozpoznaje i opisuje szeregowe i równoległe łączenie oporników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53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wykorzystuje I prawo Kirchhoffa do opisu obwodu prądu stałego w sytuacjach typowych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wykorzystuje I prawo Kirchhoffa do opisu obwodu prądu stałego w sytuacjach problemowych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ilustruje doświadczalnie I prawo Kirchhoffa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oblicza opór zastępczy szeregowego i równoległego połączenia oporników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sieć domową jako przykład obwodu elektrycznego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zna i stosuje zasady bezpieczeństwa przy pracy z obwodem elektrycznym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podaje przykłady różnych rodzaje bezpieczników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różne rodzaje bezpieczników</w:t>
            </w:r>
          </w:p>
          <w:p w:rsidR="008C7ACD" w:rsidRPr="00092E68" w:rsidRDefault="008C7ACD" w:rsidP="008C7ACD">
            <w:pPr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F33AD0">
            <w:pPr>
              <w:pStyle w:val="Wypunktowanie"/>
              <w:numPr>
                <w:ilvl w:val="0"/>
                <w:numId w:val="0"/>
              </w:numPr>
              <w:ind w:left="312"/>
              <w:jc w:val="left"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63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 xml:space="preserve">rozwiązuje zadania problemowe wykraczające poza </w:t>
            </w:r>
            <w:r w:rsidRPr="00092E68">
              <w:rPr>
                <w:rFonts w:cs="Calibri"/>
                <w:sz w:val="24"/>
                <w:szCs w:val="24"/>
              </w:rPr>
              <w:lastRenderedPageBreak/>
              <w:t>wymagania dopełniające</w:t>
            </w:r>
          </w:p>
        </w:tc>
      </w:tr>
      <w:tr w:rsidR="008C7ACD" w:rsidRPr="00092E68" w:rsidTr="00092E68">
        <w:tc>
          <w:tcPr>
            <w:tcW w:w="14283" w:type="dxa"/>
            <w:gridSpan w:val="5"/>
            <w:shd w:val="clear" w:color="auto" w:fill="auto"/>
          </w:tcPr>
          <w:p w:rsidR="008C7ACD" w:rsidRPr="00092E68" w:rsidRDefault="008C7ACD" w:rsidP="00092E68">
            <w:pPr>
              <w:pStyle w:val="Akapitzlist"/>
              <w:ind w:left="264"/>
              <w:rPr>
                <w:rFonts w:cs="Calibri"/>
                <w:b/>
                <w:sz w:val="24"/>
                <w:szCs w:val="24"/>
              </w:rPr>
            </w:pPr>
            <w:r w:rsidRPr="00092E68">
              <w:rPr>
                <w:rFonts w:cs="Calibri"/>
                <w:b/>
                <w:sz w:val="24"/>
                <w:szCs w:val="24"/>
              </w:rPr>
              <w:lastRenderedPageBreak/>
              <w:t>Dział 2 Magnetyzm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magnes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definiuje bieguny magnesu 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pole magnetyczne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podaje przykłady magnesów i ich zastosowania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kreśli linie pola magnetycznego wokół i wewnątrz magnesu trwałego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pole magnetyczne Ziemi, kreśli linie pola, oznacza bieguny magnetyczne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opisuje właściwości magnesów 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właściwości pola magnetycznego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wyjaśnia znaczenie pola magnetycznego Ziemi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spacing w:line="240" w:lineRule="auto"/>
              <w:ind w:left="211" w:hanging="21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działanie igły magnetycznej i kompasu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211" w:hanging="211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demonstruje doświadczalnie linie pola magnetycznego magnesu trwałego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definiuje dipol magnetyczny i wyjaśnia jego znaczenie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502"/>
              <w:jc w:val="left"/>
              <w:rPr>
                <w:rFonts w:ascii="Calibri" w:hAnsi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zwojnicę</w:t>
            </w:r>
          </w:p>
          <w:p w:rsidR="008C7ACD" w:rsidRPr="00092E68" w:rsidRDefault="008C7ACD" w:rsidP="00092E68">
            <w:pPr>
              <w:pStyle w:val="Wypunktowanie"/>
              <w:ind w:left="502"/>
              <w:jc w:val="left"/>
              <w:rPr>
                <w:rFonts w:ascii="Calibri" w:hAnsi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jest świadomy istnienia pola magnetycznego w otoczeniu przewodnika z prądem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8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pole magnetyczne wokół prostoliniowego przewodnika z prądem i przewodnika kołowego</w:t>
            </w:r>
          </w:p>
          <w:p w:rsidR="008C7ACD" w:rsidRPr="00092E68" w:rsidRDefault="008C7ACD" w:rsidP="00092E68">
            <w:pPr>
              <w:pStyle w:val="Wypunktowanie"/>
              <w:ind w:left="38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pole magnetyczne zwojnicy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29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stosuje regułę prawej ręki do wyznaczania zwrotu linii pola magnetycznego prostoliniowego przewodnika z prądem, przewodnika kołowego oraz zwojnicy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50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rysuje linie pola magnetycznego wokół prostoliniowego i kołowego przewodnika oraz zwojnicy z prądem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50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zasadę działania elektromagnesu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i/>
                <w:iCs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wyjaśnia istnienie pola magnetycznego Ziemi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i/>
                <w:iCs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siłę elektrodynamiczną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opisuje oddziaływanie pola magnetycznego na przewodnik z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prądem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czynniki mające wpływ na wartość siły elektrodynamicznej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stosuje regułę lewej dłoni do wyznaczania kierunku i zwrotu siły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elektrodynamicznej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wyjaśnia znaczenie siły elektrodynamicznej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wyznacza kierunek i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zwrot siły elektrodynamicznej w sytuacjach problemowych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i/>
                <w:iCs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lastRenderedPageBreak/>
              <w:t>definiuje indukcję magnetyczną i podaje jej jednostkę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i/>
                <w:iCs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lastRenderedPageBreak/>
              <w:t>oblicza wartość siły elektrodynamicznej</w:t>
            </w:r>
          </w:p>
        </w:tc>
      </w:tr>
      <w:tr w:rsidR="008C7ACD" w:rsidRPr="00092E68" w:rsidTr="00092E68">
        <w:tc>
          <w:tcPr>
            <w:tcW w:w="14283" w:type="dxa"/>
            <w:gridSpan w:val="5"/>
            <w:shd w:val="clear" w:color="auto" w:fill="auto"/>
          </w:tcPr>
          <w:p w:rsidR="008C7ACD" w:rsidRPr="00092E68" w:rsidRDefault="008C7ACD" w:rsidP="00092E68">
            <w:pPr>
              <w:pStyle w:val="Akapitzlist"/>
              <w:ind w:left="264"/>
              <w:rPr>
                <w:rFonts w:cs="Calibri"/>
                <w:b/>
                <w:sz w:val="24"/>
                <w:szCs w:val="24"/>
              </w:rPr>
            </w:pPr>
            <w:r w:rsidRPr="00092E68">
              <w:rPr>
                <w:rFonts w:cs="Calibri"/>
                <w:b/>
                <w:sz w:val="24"/>
                <w:szCs w:val="24"/>
              </w:rPr>
              <w:lastRenderedPageBreak/>
              <w:t>Dział 3: Indukcja elektromagnetyczna, prąd przemienny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prąd indukcyjny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podaje przykłady wykorzystania zjawiska indukcji elektromagnetycznej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zjawisko indukcji elektromagnetycznej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312" w:hanging="21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formułuje warunek powstania prądu indukcyjnego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znaczenie zjawiska indukcji elektromagnetycznej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zjawiska zachodzące podczas ruchu magnesu wewnątrz zwojnicy, przez którą płynie prąd elektryczny w sytuacjach typowych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zjawiska zachodzące podczas ruchu magnesu wewnątrz zwojnicy, przez którą płynie prąd elektryczny w sytuacjach problemowych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prąd przemienny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wymienia wielkości charakteryzujące prąd przemienny: okres, częstotliwość, amplitudę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napięcie i natężenie skuteczne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wielkości charakteryzujące prąd przemienny: okres, częstotliwość, amplitudę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zapisuje prawo Ohma dla obwodu prądu przemiennego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znaczenie wartości napięcia i natężenia skutecznego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wykorzystuje pojęcia napięcia, natężenia i mocy skutecznej w sytuacjach typowych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rysuje wykres zależności natężenia prądu od czasu dla prądu przemiennego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27"/>
              </w:numPr>
              <w:ind w:left="34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sposób opisu urządzeń prądu przemiennego zamieszczony na tabliczkach znamionowych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7"/>
              </w:numPr>
              <w:ind w:left="34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wykorzystuje pojęcia napięcia, natężenia i mocy skutecznej w sytuacjach problemowych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color w:val="000000"/>
                <w:sz w:val="24"/>
                <w:szCs w:val="24"/>
              </w:rPr>
            </w:pPr>
            <w:r w:rsidRPr="00092E68">
              <w:rPr>
                <w:rFonts w:cs="Calibri"/>
                <w:color w:val="000000"/>
                <w:sz w:val="24"/>
                <w:szCs w:val="24"/>
              </w:rPr>
              <w:t>wykorzystuje zależności między wartościami maksymalnymi i skutecznymi natężenia i napięcia dla prądu przemiennego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color w:val="000000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budowę transformatora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wymienia przykłady zastosowania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transformatora 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opisuje zasadę działania transformatora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wskazuje uzwojenie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pierwotne i wtórne transformatora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zastosowania transformatora w technice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oblicza natężenia prądu i napięcia na uzwojeniu wtórnym i pierwotnym oraz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przekładnię transformatora w sytuacjach typowych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77" w:hanging="28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lastRenderedPageBreak/>
              <w:t xml:space="preserve">oblicza natężenia prądu i napięcia na uzwojeniu wtórnym i pierwotnym oraz przekładnię </w:t>
            </w:r>
            <w:r w:rsidRPr="00092E68">
              <w:rPr>
                <w:rFonts w:cs="Calibri"/>
                <w:sz w:val="24"/>
                <w:szCs w:val="24"/>
              </w:rPr>
              <w:lastRenderedPageBreak/>
              <w:t>transformatora w sytuacjach problemowych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77" w:hanging="28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opisuje inne zastosowanie zjawiska indukcji magnetycznej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lastRenderedPageBreak/>
              <w:t>formułuje prawo Joule’a-Lenza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 xml:space="preserve">rozwiązuje zadania problemowe </w:t>
            </w:r>
            <w:r w:rsidRPr="00092E68">
              <w:rPr>
                <w:rFonts w:cs="Calibri"/>
                <w:sz w:val="24"/>
                <w:szCs w:val="24"/>
              </w:rPr>
              <w:lastRenderedPageBreak/>
              <w:t>wykraczające poza wymagania dopełniające</w:t>
            </w:r>
          </w:p>
        </w:tc>
      </w:tr>
      <w:tr w:rsidR="008C7ACD" w:rsidRPr="00092E68" w:rsidTr="00092E68">
        <w:tc>
          <w:tcPr>
            <w:tcW w:w="14283" w:type="dxa"/>
            <w:gridSpan w:val="5"/>
            <w:shd w:val="clear" w:color="auto" w:fill="auto"/>
          </w:tcPr>
          <w:p w:rsidR="008C7ACD" w:rsidRPr="00092E68" w:rsidRDefault="008C7ACD" w:rsidP="00092E68">
            <w:pPr>
              <w:pStyle w:val="Akapitzlist"/>
              <w:ind w:left="264"/>
              <w:rPr>
                <w:rFonts w:cs="Calibri"/>
                <w:b/>
                <w:sz w:val="24"/>
                <w:szCs w:val="24"/>
              </w:rPr>
            </w:pPr>
            <w:r w:rsidRPr="00092E68">
              <w:rPr>
                <w:rFonts w:cs="Calibri"/>
                <w:b/>
                <w:sz w:val="24"/>
                <w:szCs w:val="24"/>
              </w:rPr>
              <w:lastRenderedPageBreak/>
              <w:t>Dział 4: Energia w zjawiskach cieplnych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wymienia podstawowe elementy kinetyczno-molekularnej teorii budowy materii (atomy, pierwiastki, związki chemiczne)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wymienia trzy stany skupienia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gęstość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ciśnienie i siłę parcia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podstawowe elementy kinetyczno-molekularnej teorii budowy materii (atomy, pierwiastki, związki chemiczne)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wymienia główne założenia kinetyczno-molekularnej teorii budowy materii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główne założenia kinetyczno-molekularnej teorii budowy materii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główne cechy trzech stanów skupienia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posługuje się układem okresowym pierwiastków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oblicza gęstość w sytuacjach typowych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posługuje się pojęciem ciśnienia w sytuacjach typowych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budowę molekularną ciał stałych, cieczy i gazów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oblicza gęstość w sytuacjach problemowych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posługuje się pojęciem ciśnienia w sytuacjach problemowych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opisuje i wyjaśnia zjawisko dyfuzji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opisuje ciała krystaliczne i bezpostaciowe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  <w:p w:rsidR="008C7ACD" w:rsidRPr="00092E68" w:rsidRDefault="008C7ACD" w:rsidP="008C7ACD">
            <w:pPr>
              <w:rPr>
                <w:rFonts w:cs="Calibri"/>
                <w:sz w:val="24"/>
                <w:szCs w:val="24"/>
              </w:rPr>
            </w:pP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definiuje rozszerzalność cieplną 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zjawisko rozszerzalności cieplnej gazów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spacing w:line="240" w:lineRule="auto"/>
              <w:ind w:left="31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znaczenie rozszerzalności cielnej w technice i życiu codziennym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zjawisko rozszerzalności cieplnej gazów, korzystając z pojęć kinetyczno-molekularnej teorii budowy materii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demonstruje doświadczalnie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zjawisko rozszerzalności cieplnej gazów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405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lastRenderedPageBreak/>
              <w:t>opisuje rozszerzalność cieplną cieczy oraz rozszerzalność cieplną wody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405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opisuje rozszerzalność cieplną ciał stałych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pojęcie temperatury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definiuje temperaturę bezwzględną 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definiuje energię wewnętrzną 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ciepło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formułuje i wyjaśniać zasadę równoważności ciepła i pracy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277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formułuje I zasadę termodynamiki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stosuje skalę Kelwina, zamienia stopnie Celsjusza na kelwiny i odwrotnie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podaje wartość temperatury zera bezwzględnego w skali Kelwina i w skali Celsjusza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jest świadomy zależności między ciepłem dostarczonym a zmianą temperatury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podaje przykłady przekazywania energii w formie ciepła i w formie pracy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wyjaśnia znaczenia temperatury zera bezwzględnego 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zależność pomiędzy temperaturą a energią wewnętrzną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zależność między ciepłem dostarczonym a zmianą temperatury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różnice pomiędzy pojęciami energii, ciepła i pracy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opisuje zjawiska życia codziennego za pomocą pojęć </w:t>
            </w:r>
            <w:r w:rsidRPr="00092E68">
              <w:rPr>
                <w:rFonts w:ascii="Calibri" w:hAnsi="Calibri" w:cs="Calibri"/>
                <w:i/>
                <w:iCs/>
                <w:sz w:val="24"/>
                <w:szCs w:val="24"/>
              </w:rPr>
              <w:t>energia</w:t>
            </w:r>
            <w:r w:rsidRPr="00092E6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092E68">
              <w:rPr>
                <w:rFonts w:ascii="Calibri" w:hAnsi="Calibri" w:cs="Calibri"/>
                <w:i/>
                <w:iCs/>
                <w:sz w:val="24"/>
                <w:szCs w:val="24"/>
              </w:rPr>
              <w:t>ciepło</w:t>
            </w:r>
            <w:r w:rsidRPr="00092E68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r w:rsidRPr="00092E68">
              <w:rPr>
                <w:rFonts w:ascii="Calibri" w:hAnsi="Calibri" w:cs="Calibri"/>
                <w:i/>
                <w:iCs/>
                <w:sz w:val="24"/>
                <w:szCs w:val="24"/>
              </w:rPr>
              <w:t>praca</w:t>
            </w:r>
            <w:r w:rsidRPr="00092E68">
              <w:rPr>
                <w:rFonts w:ascii="Calibri" w:hAnsi="Calibri" w:cs="Calibri"/>
                <w:sz w:val="24"/>
                <w:szCs w:val="24"/>
              </w:rPr>
              <w:t xml:space="preserve"> w sytuacjach typowych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zależność między energią wewnętrzną i wykonaną pracą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odróżnia energię, ciepło i pracę w określonych sytuacjach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opisuje zjawiska życia codziennego za pomocą pojęć </w:t>
            </w:r>
            <w:r w:rsidRPr="00092E68">
              <w:rPr>
                <w:rFonts w:ascii="Calibri" w:hAnsi="Calibri" w:cs="Calibri"/>
                <w:i/>
                <w:iCs/>
                <w:sz w:val="24"/>
                <w:szCs w:val="24"/>
              </w:rPr>
              <w:t>energia</w:t>
            </w:r>
            <w:r w:rsidRPr="00092E6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092E68">
              <w:rPr>
                <w:rFonts w:ascii="Calibri" w:hAnsi="Calibri" w:cs="Calibri"/>
                <w:i/>
                <w:iCs/>
                <w:sz w:val="24"/>
                <w:szCs w:val="24"/>
              </w:rPr>
              <w:t>ciepło</w:t>
            </w:r>
            <w:r w:rsidRPr="00092E68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r w:rsidRPr="00092E68">
              <w:rPr>
                <w:rFonts w:ascii="Calibri" w:hAnsi="Calibri" w:cs="Calibri"/>
                <w:i/>
                <w:iCs/>
                <w:sz w:val="24"/>
                <w:szCs w:val="24"/>
              </w:rPr>
              <w:t>praca</w:t>
            </w:r>
            <w:r w:rsidRPr="00092E68">
              <w:rPr>
                <w:rFonts w:ascii="Calibri" w:hAnsi="Calibri" w:cs="Calibri"/>
                <w:sz w:val="24"/>
                <w:szCs w:val="24"/>
              </w:rPr>
              <w:t xml:space="preserve"> w sytuacjach problemowych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przewodnictwo cieplne, konwekcję i promieniowanie cieplne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ciepło właściwe i podaje jego jednostkę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podaje przykłady występowania i wykorzystania przewodnictwa cieplnego, konwekcji i promieniowania cieplnego w życiu codziennym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zapisuje zależność pomiędzy ciepłem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dostarczonym lub pobranym z substancji a jej temperaturą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opisuje ciepło właściwe jako zdolność ciała do zmiany temperatury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wykorzystuje ciepło właściwe do opisu zjawisk w sytuacjach typowych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29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wykorzystuje zależność pomiędzy ciepłem dostarczonym lub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pobranym z substancji a jej temperaturą w sytuacjach typowych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wykorzystuje ciepło właściwe do opisu zjawisk w sytuacjach problemowych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207" w:hanging="20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wykorzystuje zależność pomiędzy ciepłem dostarczonym lub pobranym z substancji a jej temperaturą w sytuacjach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problemowych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spacing w:line="240" w:lineRule="auto"/>
              <w:ind w:left="263" w:hanging="26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rozwiązuje zadania problemowe wykraczające poza wymagania dopełniające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4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definiuje topnienie i krzepniecie </w:t>
            </w:r>
          </w:p>
          <w:p w:rsidR="008C7ACD" w:rsidRPr="00092E68" w:rsidRDefault="008C7ACD" w:rsidP="00092E68">
            <w:pPr>
              <w:pStyle w:val="Wypunktowanie"/>
              <w:ind w:left="312" w:hanging="34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definiuje parowanie i skraplanie 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4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opisuje zjawiska topnienia i krzepnięcia </w:t>
            </w:r>
          </w:p>
          <w:p w:rsidR="008C7ACD" w:rsidRPr="00092E68" w:rsidRDefault="008C7ACD" w:rsidP="00092E68">
            <w:pPr>
              <w:pStyle w:val="Wypunktowanie"/>
              <w:ind w:left="312" w:hanging="34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opisuje zjawiska parowania i skraplania </w:t>
            </w:r>
          </w:p>
          <w:p w:rsidR="008C7ACD" w:rsidRPr="00092E68" w:rsidRDefault="008C7ACD" w:rsidP="00092E68">
            <w:pPr>
              <w:pStyle w:val="Wypunktowanie"/>
              <w:ind w:left="312" w:hanging="34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zjawisko wrzenia, odróżniania wrzenie od parowania</w:t>
            </w:r>
          </w:p>
          <w:p w:rsidR="008C7ACD" w:rsidRPr="00092E68" w:rsidRDefault="008C7ACD" w:rsidP="00092E68">
            <w:pPr>
              <w:pStyle w:val="Wypunktowanie"/>
              <w:ind w:left="312" w:hanging="34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temperaturę wrzenia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4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opisuje topnienie i krzepniecie za pomocą pojęć </w:t>
            </w:r>
            <w:r w:rsidRPr="00092E68">
              <w:rPr>
                <w:rFonts w:ascii="Calibri" w:hAnsi="Calibri" w:cs="Calibri"/>
                <w:i/>
                <w:iCs/>
                <w:sz w:val="24"/>
                <w:szCs w:val="24"/>
              </w:rPr>
              <w:t>temperatura topnienia</w:t>
            </w:r>
            <w:r w:rsidRPr="00092E68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r w:rsidRPr="00092E68">
              <w:rPr>
                <w:rFonts w:ascii="Calibri" w:hAnsi="Calibri" w:cs="Calibri"/>
                <w:i/>
                <w:iCs/>
                <w:sz w:val="24"/>
                <w:szCs w:val="24"/>
              </w:rPr>
              <w:t>ciepło topnienia</w:t>
            </w:r>
          </w:p>
          <w:p w:rsidR="008C7ACD" w:rsidRPr="00092E68" w:rsidRDefault="008C7ACD" w:rsidP="00092E68">
            <w:pPr>
              <w:pStyle w:val="Wypunktowanie"/>
              <w:ind w:left="312" w:hanging="34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opisuje parowanie i skraplanie za pomocą pojęcia </w:t>
            </w:r>
            <w:r w:rsidRPr="00092E68">
              <w:rPr>
                <w:rFonts w:ascii="Calibri" w:hAnsi="Calibri" w:cs="Calibri"/>
                <w:i/>
                <w:iCs/>
                <w:sz w:val="24"/>
                <w:szCs w:val="24"/>
              </w:rPr>
              <w:t>ciepło parowania</w:t>
            </w:r>
          </w:p>
          <w:p w:rsidR="008C7ACD" w:rsidRPr="00092E68" w:rsidRDefault="008C7ACD" w:rsidP="00092E68">
            <w:pPr>
              <w:pStyle w:val="Wypunktowanie"/>
              <w:ind w:left="312" w:hanging="34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wrzenie za pomocą temperatury wrzenia</w:t>
            </w:r>
          </w:p>
          <w:p w:rsidR="008C7ACD" w:rsidRPr="00092E68" w:rsidRDefault="008C7ACD" w:rsidP="00092E68">
            <w:pPr>
              <w:pStyle w:val="Wypunktowanie"/>
              <w:ind w:left="312" w:hanging="34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korzysta z ciepła przemiany fazowej w sytuacjach typowych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przedstawia na wykresie zależności temperatury od ciepła pobranego oraz proces zmiany stanów skupienia wody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korzysta z ciepła przemiany fazowej w sytuacjach problemowych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wyjaśnia zasadę działania chłodziarki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rozumie zależność temperatury wrzenia i krzepnięcia od ciśnienia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formułuje i wykorzystuje zasadę bilansu cieplnego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definiuje silnik cieplny 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definiuje pojęcie </w:t>
            </w:r>
            <w:r w:rsidRPr="00092E68">
              <w:rPr>
                <w:rFonts w:ascii="Calibri" w:hAnsi="Calibri" w:cs="Calibri"/>
                <w:i/>
                <w:iCs/>
                <w:sz w:val="24"/>
                <w:szCs w:val="24"/>
              </w:rPr>
              <w:t>wartość energetyczna</w:t>
            </w:r>
            <w:r w:rsidRPr="00092E68">
              <w:rPr>
                <w:rFonts w:ascii="Calibri" w:hAnsi="Calibri" w:cs="Calibri"/>
                <w:sz w:val="24"/>
                <w:szCs w:val="24"/>
              </w:rPr>
              <w:t xml:space="preserve"> i wymienia jej jednostki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definiuje pojęcie </w:t>
            </w:r>
            <w:r w:rsidRPr="00092E68">
              <w:rPr>
                <w:rFonts w:ascii="Calibri" w:hAnsi="Calibri" w:cs="Calibri"/>
                <w:i/>
                <w:iCs/>
                <w:sz w:val="24"/>
                <w:szCs w:val="24"/>
              </w:rPr>
              <w:t>ciepło spalania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wartość energetyczną żywności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działanie silnika cieplnego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podaje wartości energetyczne wybranych paliw i żywności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znaczenie wartości energetycznej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wykorzystuje I zasadę termodynamiki do opisu zjawisk w sytuacjach typowych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działanie silnika cieplnego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korzysta z wartości energetycznej paliw i żywności w sytuacjach życia codziennego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wykorzystuje I zasadę termodynamiki do opisu zjawisk w sytuacjach problemowych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i oblicza sprawność silnika cieplnego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0"/>
              </w:numPr>
              <w:ind w:left="312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092E68">
              <w:rPr>
                <w:rFonts w:ascii="Calibri" w:hAnsi="Calibri" w:cs="Calibri"/>
                <w:b/>
                <w:sz w:val="24"/>
                <w:szCs w:val="24"/>
              </w:rPr>
              <w:t>Moduł fakultatywny C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0"/>
              </w:numPr>
              <w:ind w:left="312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0"/>
              </w:numPr>
              <w:ind w:left="312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226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ind w:left="360"/>
              <w:rPr>
                <w:rFonts w:cs="Calibri"/>
                <w:b/>
                <w:sz w:val="24"/>
                <w:szCs w:val="24"/>
              </w:rPr>
            </w:pP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opisuje wpływ wiedzy z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dziedziny fizyki na wyniki w sporcie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317" w:hanging="31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znaczenie wiedzy z zakresu fizyki w wyposażeniu sportowym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wymienia wielkości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fizyczne opisujące skoki narciarskie i skoki o tyczce oraz zna rzędy ich wielkości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wymienia wielkości i pojęcia fizyczne opisujące ruch piłki 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wymienia zjawiska i wielkości fizyczne opisujące pływanie 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opisuje skoki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narciarskie i skoki o tyczce, korzystając z podstawowych pojęć mechaniki 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ruch piłki, korzystając z podstawowych pojęć mechaniki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pływanie, korzystając z prawa Archimedesa oraz podstawowych pojęć mechaniki i termodynamiki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uwzględnia siłę tarcia i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siły oporu ruchu do opisu zjawisk w sporcie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ruch piłki i skok jako rzut ukośny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226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znaczenie wilgotności powietrza w sporcie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lastRenderedPageBreak/>
              <w:t xml:space="preserve">opisuje wpływ </w:t>
            </w:r>
            <w:r w:rsidRPr="00092E68">
              <w:rPr>
                <w:rFonts w:cs="Calibri"/>
                <w:sz w:val="24"/>
                <w:szCs w:val="24"/>
              </w:rPr>
              <w:lastRenderedPageBreak/>
              <w:t>warunków atmosferycznych na wyniki sportowe, korzystając z pojęć fizyki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opisuje działanie siły nośnej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opisuje znaczenie zasolenia wody dla pływalności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wymienia instalacje i urządzenia gospodarstwa domowego, których działanie opiera się na prawach fizycznych</w:t>
            </w:r>
          </w:p>
          <w:p w:rsidR="008C7ACD" w:rsidRPr="00092E68" w:rsidRDefault="008C7ACD" w:rsidP="00092E68">
            <w:pPr>
              <w:pStyle w:val="Wypunktowanie"/>
              <w:ind w:left="312" w:hanging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dostrzega zjawiska fizyczne w życiu codziennym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domową instalację elektryczną, instalację grzewczą, instalację wentylacyjną oraz instalację odgromową za pomocą pojęć fizycznych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opisuje zjawiska fizyczne w życiu codziennym </w:t>
            </w:r>
          </w:p>
          <w:p w:rsidR="008C7ACD" w:rsidRPr="00092E68" w:rsidRDefault="008C7ACD" w:rsidP="00092E68">
            <w:pPr>
              <w:pStyle w:val="Wypunktowanie"/>
              <w:ind w:left="312" w:hanging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działanie kuchenki mikrofalowej i płyty indukcyjnej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176" w:hanging="14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wykorzystuje wiedzę i terminologię naukową do opisu zjawisk życia codziennego</w:t>
            </w:r>
          </w:p>
          <w:p w:rsidR="008C7ACD" w:rsidRPr="00092E68" w:rsidRDefault="008C7ACD" w:rsidP="00092E68">
            <w:pPr>
              <w:pStyle w:val="Wypunktowanie"/>
              <w:ind w:left="176" w:hanging="14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działanie kuchenki mikrofalowej i płyty indukcyjnej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C7ACD" w:rsidRPr="00092E68" w:rsidTr="00092E68">
        <w:tc>
          <w:tcPr>
            <w:tcW w:w="14283" w:type="dxa"/>
            <w:gridSpan w:val="5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0"/>
              </w:numPr>
              <w:ind w:left="36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092E68">
              <w:rPr>
                <w:rFonts w:ascii="Calibri" w:hAnsi="Calibri" w:cs="Calibri"/>
                <w:b/>
                <w:sz w:val="24"/>
                <w:szCs w:val="24"/>
              </w:rPr>
              <w:t>Moduł fakultatywny E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wymienia stany skupienia 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pojęcia sprężystości i plastyczności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formułuje prawo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Hooke’a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naprężenie wewnętrzne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definiuje moduł Younga 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granicę wytrzymałości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współczynnik przewodnictwa cieplnego i opisuje jego znaczenie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opisuje stany skupienia 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pojęcia sprężystości i plastyczności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opisuje podział ciał stałych ze względu na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własności sprężyste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formułuje prawo przewodnictwa cieplnego</w:t>
            </w:r>
          </w:p>
          <w:p w:rsidR="008C7ACD" w:rsidRPr="00092E68" w:rsidRDefault="008C7ACD" w:rsidP="00092E68">
            <w:pPr>
              <w:pStyle w:val="Wypunktowanie"/>
              <w:ind w:left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podział materiałów ze względu na przewodnictwo elektryczne</w:t>
            </w:r>
          </w:p>
          <w:p w:rsidR="008C7ACD" w:rsidRPr="00092E68" w:rsidRDefault="008C7ACD" w:rsidP="00092E68">
            <w:pPr>
              <w:pStyle w:val="Wypunktowanie"/>
              <w:spacing w:line="240" w:lineRule="auto"/>
              <w:ind w:left="317" w:hanging="226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podział materiałów ze względu na własności magnetyczne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29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opisuje mechanizm rozszerzalności cieplnej materiałów</w:t>
            </w:r>
          </w:p>
          <w:p w:rsidR="008C7ACD" w:rsidRPr="00092E68" w:rsidRDefault="008C7ACD" w:rsidP="00092E68">
            <w:pPr>
              <w:pStyle w:val="Wypunktowanie"/>
              <w:ind w:left="29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wyjaśnia znaczenie modułu Younga </w:t>
            </w:r>
          </w:p>
          <w:p w:rsidR="008C7ACD" w:rsidRPr="00092E68" w:rsidRDefault="008C7ACD" w:rsidP="00092E68">
            <w:pPr>
              <w:pStyle w:val="Wypunktowanie"/>
              <w:ind w:left="29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korzysta z prawa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Hooke’a w sytuacjach typowych</w:t>
            </w:r>
          </w:p>
          <w:p w:rsidR="008C7ACD" w:rsidRPr="00092E68" w:rsidRDefault="008C7ACD" w:rsidP="00092E68">
            <w:pPr>
              <w:pStyle w:val="Wypunktowanie"/>
              <w:ind w:left="29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podział materiałów ze względu na przewodnictwo cieplne</w:t>
            </w:r>
          </w:p>
          <w:p w:rsidR="008C7ACD" w:rsidRPr="00092E68" w:rsidRDefault="008C7ACD" w:rsidP="00092E68">
            <w:pPr>
              <w:pStyle w:val="Wypunktowanie"/>
              <w:ind w:left="29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korzysta z prawa przewodnictwa cieplnego w sytuacjach typowych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korzysta z prawa Hooke’a w sytuacjach problemowych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znaczenie granicy wytrzymałości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korzysta z prawa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przewodnictwa cieplnego w sytuacjach problemowych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definiuje wytrzymałość na rozciąganie, ściskanie, zginanie, ścinanie, skręcanie oraz docisk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opisuje metody </w:t>
            </w: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badania wytrzymałości materiałów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C7ACD" w:rsidRPr="00092E68" w:rsidTr="00092E68">
        <w:tc>
          <w:tcPr>
            <w:tcW w:w="2943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312" w:hanging="312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lastRenderedPageBreak/>
              <w:t>wymienia główne założenia kinetyczno-molekularnej teorii budowy materii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definiuje plazmę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wymienia odmiany węgla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wpływ temperatury na stan skupienia i właściwości materii</w:t>
            </w:r>
          </w:p>
          <w:p w:rsidR="008C7ACD" w:rsidRPr="00092E68" w:rsidRDefault="008C7ACD" w:rsidP="00092E68">
            <w:pPr>
              <w:pStyle w:val="Wypunktowanie"/>
              <w:ind w:left="312" w:hanging="357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 xml:space="preserve">definiuje zjawisko nadprzewodnictwa 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10"/>
              </w:numPr>
              <w:ind w:left="38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główne założenia kinetyczno-molekularnej teorii budowy materii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10"/>
              </w:numPr>
              <w:ind w:left="38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wymienia warunki powstania plazmy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10"/>
              </w:numPr>
              <w:ind w:left="38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zastosowania różnych odmian węgla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10"/>
              </w:numPr>
              <w:spacing w:line="240" w:lineRule="auto"/>
              <w:ind w:left="38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zastosowania zjawiska nadprzewodnictwa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ind w:left="294" w:hanging="29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budowę ciał stałych krystalicznych i bezpostaciowych</w:t>
            </w:r>
          </w:p>
          <w:p w:rsidR="008C7ACD" w:rsidRPr="00092E68" w:rsidRDefault="008C7ACD" w:rsidP="00092E68">
            <w:pPr>
              <w:pStyle w:val="Wypunktowanie"/>
              <w:ind w:left="294" w:hanging="29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wpływ temperatury na sieć krystaliczną</w:t>
            </w:r>
          </w:p>
          <w:p w:rsidR="008C7ACD" w:rsidRPr="00092E68" w:rsidRDefault="008C7ACD" w:rsidP="00092E68">
            <w:pPr>
              <w:pStyle w:val="Wypunktowanie"/>
              <w:ind w:left="294" w:hanging="29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budowę i właściwości różnych odmian węgla</w:t>
            </w:r>
          </w:p>
          <w:p w:rsidR="008C7ACD" w:rsidRPr="00092E68" w:rsidRDefault="008C7ACD" w:rsidP="00092E68">
            <w:pPr>
              <w:pStyle w:val="Wypunktowanie"/>
              <w:ind w:left="294" w:hanging="29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opisuje znaczenie zjawiska nadprzewodnictwa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pojęcie anizotropii</w:t>
            </w:r>
          </w:p>
          <w:p w:rsidR="008C7ACD" w:rsidRPr="00092E68" w:rsidRDefault="008C7ACD" w:rsidP="00092E68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92E68">
              <w:rPr>
                <w:rFonts w:ascii="Calibri" w:hAnsi="Calibri" w:cs="Calibri"/>
                <w:sz w:val="24"/>
                <w:szCs w:val="24"/>
              </w:rPr>
              <w:t>wyjaśnia znaczenie sieci krystalicznej</w:t>
            </w:r>
          </w:p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opisuje zjawisko nadprzewodnictwa</w:t>
            </w:r>
          </w:p>
        </w:tc>
        <w:tc>
          <w:tcPr>
            <w:tcW w:w="2835" w:type="dxa"/>
            <w:shd w:val="clear" w:color="auto" w:fill="auto"/>
          </w:tcPr>
          <w:p w:rsidR="008C7ACD" w:rsidRPr="00092E68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092E68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</w:tbl>
    <w:p w:rsidR="008C7ACD" w:rsidRPr="00092E68" w:rsidRDefault="008C7ACD" w:rsidP="008C7ACD">
      <w:pPr>
        <w:pStyle w:val="Wypunktowanie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</w:p>
    <w:p w:rsidR="008C7ACD" w:rsidRPr="00092E68" w:rsidRDefault="008C7ACD" w:rsidP="008C7ACD">
      <w:pPr>
        <w:jc w:val="center"/>
        <w:rPr>
          <w:b/>
          <w:sz w:val="24"/>
          <w:szCs w:val="24"/>
        </w:rPr>
      </w:pPr>
    </w:p>
    <w:p w:rsidR="008C7ACD" w:rsidRPr="00092E68" w:rsidRDefault="008C7ACD" w:rsidP="008C7ACD">
      <w:pPr>
        <w:jc w:val="center"/>
        <w:rPr>
          <w:b/>
          <w:sz w:val="24"/>
          <w:szCs w:val="24"/>
        </w:rPr>
      </w:pPr>
    </w:p>
    <w:p w:rsidR="0038189E" w:rsidRPr="00092E68" w:rsidRDefault="008C7ACD" w:rsidP="008C7ACD">
      <w:pPr>
        <w:jc w:val="center"/>
        <w:rPr>
          <w:b/>
          <w:sz w:val="24"/>
          <w:szCs w:val="24"/>
        </w:rPr>
      </w:pPr>
      <w:r w:rsidRPr="00092E68">
        <w:rPr>
          <w:b/>
          <w:sz w:val="24"/>
          <w:szCs w:val="24"/>
        </w:rPr>
        <w:t>KLASA III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835"/>
        <w:gridCol w:w="2835"/>
        <w:gridCol w:w="2835"/>
      </w:tblGrid>
      <w:tr w:rsidR="008F0D67" w:rsidRPr="00A62E15" w:rsidTr="00092E68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8C7ACD" w:rsidRPr="00A62E15" w:rsidRDefault="008C7ACD" w:rsidP="00092E68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A62E15">
              <w:rPr>
                <w:rFonts w:cs="Calibri"/>
                <w:b/>
                <w:sz w:val="24"/>
                <w:szCs w:val="24"/>
              </w:rPr>
              <w:lastRenderedPageBreak/>
              <w:t>Ocena dopuszczająca</w:t>
            </w:r>
          </w:p>
          <w:p w:rsidR="008C7ACD" w:rsidRPr="00A62E15" w:rsidRDefault="008C7ACD" w:rsidP="00092E68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A62E15">
              <w:rPr>
                <w:rFonts w:cs="Calibri"/>
                <w:b/>
                <w:sz w:val="24"/>
                <w:szCs w:val="24"/>
              </w:rPr>
              <w:t>Uczeń: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C7ACD" w:rsidRPr="00A62E15" w:rsidRDefault="008C7ACD" w:rsidP="00092E68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A62E15">
              <w:rPr>
                <w:rFonts w:cs="Calibri"/>
                <w:b/>
                <w:sz w:val="24"/>
                <w:szCs w:val="24"/>
              </w:rPr>
              <w:t>Ocena dostateczna</w:t>
            </w:r>
          </w:p>
          <w:p w:rsidR="008C7ACD" w:rsidRPr="00A62E15" w:rsidRDefault="008C7ACD" w:rsidP="00092E68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A62E15">
              <w:rPr>
                <w:rFonts w:cs="Calibri"/>
                <w:b/>
                <w:sz w:val="24"/>
                <w:szCs w:val="24"/>
              </w:rPr>
              <w:t>Uczeń: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C7ACD" w:rsidRPr="00A62E15" w:rsidRDefault="008C7ACD" w:rsidP="00092E68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A62E15">
              <w:rPr>
                <w:rFonts w:cs="Calibri"/>
                <w:b/>
                <w:sz w:val="24"/>
                <w:szCs w:val="24"/>
              </w:rPr>
              <w:t>Ocena dobra</w:t>
            </w:r>
          </w:p>
          <w:p w:rsidR="008C7ACD" w:rsidRPr="00A62E15" w:rsidRDefault="008C7ACD" w:rsidP="00092E68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A62E15">
              <w:rPr>
                <w:rFonts w:cs="Calibri"/>
                <w:b/>
                <w:sz w:val="24"/>
                <w:szCs w:val="24"/>
              </w:rPr>
              <w:t>Uczeń: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C7ACD" w:rsidRPr="00A62E15" w:rsidRDefault="008C7ACD" w:rsidP="00092E68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A62E15">
              <w:rPr>
                <w:rFonts w:cs="Calibri"/>
                <w:b/>
                <w:sz w:val="24"/>
                <w:szCs w:val="24"/>
              </w:rPr>
              <w:t>Ocena bardzo dobra</w:t>
            </w:r>
          </w:p>
          <w:p w:rsidR="008C7ACD" w:rsidRPr="00A62E15" w:rsidRDefault="008C7ACD" w:rsidP="00092E68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A62E15">
              <w:rPr>
                <w:rFonts w:cs="Calibri"/>
                <w:b/>
                <w:sz w:val="24"/>
                <w:szCs w:val="24"/>
              </w:rPr>
              <w:t>Uczeń: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C7ACD" w:rsidRPr="00A62E15" w:rsidRDefault="008C7ACD" w:rsidP="00092E68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A62E15">
              <w:rPr>
                <w:rFonts w:cs="Calibri"/>
                <w:b/>
                <w:sz w:val="24"/>
                <w:szCs w:val="24"/>
              </w:rPr>
              <w:t>Ocena celująca</w:t>
            </w:r>
          </w:p>
          <w:p w:rsidR="008C7ACD" w:rsidRPr="00A62E15" w:rsidRDefault="008C7ACD" w:rsidP="00092E68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A62E15">
              <w:rPr>
                <w:rFonts w:cs="Calibri"/>
                <w:b/>
                <w:sz w:val="24"/>
                <w:szCs w:val="24"/>
              </w:rPr>
              <w:t>Uczeń:</w:t>
            </w:r>
          </w:p>
        </w:tc>
      </w:tr>
      <w:tr w:rsidR="008F0D67" w:rsidRPr="00A62E15" w:rsidTr="00092E68">
        <w:tc>
          <w:tcPr>
            <w:tcW w:w="14283" w:type="dxa"/>
            <w:gridSpan w:val="5"/>
            <w:shd w:val="clear" w:color="auto" w:fill="auto"/>
          </w:tcPr>
          <w:p w:rsidR="008C7ACD" w:rsidRPr="00A62E15" w:rsidRDefault="008F0D67" w:rsidP="00092E68">
            <w:pPr>
              <w:pStyle w:val="Akapitzlist"/>
              <w:spacing w:after="0" w:line="240" w:lineRule="auto"/>
              <w:ind w:left="403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Dział 1: Fale mechaniczne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fale mechaniczne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definiuje ośrodek sprężysty 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prędkość i kierunek rozchodzenia się fali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0"/>
              </w:numPr>
              <w:ind w:left="502" w:hanging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pojęcia sprężystości objętości i kształtu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znaczenie ośrodka rozchodzenia się fali</w:t>
            </w:r>
          </w:p>
          <w:p w:rsidR="008C7ACD" w:rsidRPr="00A62E15" w:rsidRDefault="008C7ACD" w:rsidP="00092E68">
            <w:pPr>
              <w:pStyle w:val="Wypunktowanie"/>
              <w:spacing w:line="240" w:lineRule="auto"/>
              <w:ind w:left="353" w:hanging="357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zna podział fal na poprzeczne i podłużne oraz na jednowymiarowe, powierzchniowe (płaskie i koliste) i przestrzenne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opisuje falę sinusoidalną: wskazuje dolinę i grzbiet fali 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podział fal na poprzeczne i podłużne oraz na jednowymiarowe, powierzchniowe (płaskie i koliste) i przestrzenne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znaczenie impulsu falowego</w:t>
            </w:r>
          </w:p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podaje przykłady różnych rodzajów fal w życiu codziennym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03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powierzchnię falową</w:t>
            </w:r>
          </w:p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i wskazuje czoło fali oraz promienie fali</w:t>
            </w:r>
          </w:p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pojęcia wychylenia, amplitudy, okresu i częstotliwości fali</w:t>
            </w:r>
          </w:p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długość fali</w:t>
            </w:r>
          </w:p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natężenie fali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wskazuje czoło fali oraz promienie fali</w:t>
            </w:r>
          </w:p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oblicza prędkość rozchodzenia się oraz długość fali w sytuacjach prostych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pojęcia wychylenia, amplitudy, okresu i częstotliwości fali</w:t>
            </w:r>
          </w:p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różnice między prędkością rozchodzenia się fali a prędkością ruchu punktów ośrodka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9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oblicza prędkość rozchodzenia się oraz długość fali w sytuacjach problemowych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03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8"/>
              </w:numPr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opisuje odbicie fali: oznacza kąt padania i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odbicia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8"/>
              </w:numPr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formułuje prawo odbicia fali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8"/>
              </w:numPr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załamanie fali: oznacza kąt padania i załamania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8"/>
              </w:numPr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wyjaśnia znaczenie prawa odbicia fali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ugięcie fali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17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podaje przykłady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występowania zjawisk falowych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8"/>
              </w:numPr>
              <w:spacing w:line="240" w:lineRule="auto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stosuje prawo odbicia fali do wyznaczenia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kąta odbicia lub padania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57" w:hanging="157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lastRenderedPageBreak/>
              <w:t>opisuje zjawisko interferencji fal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57" w:hanging="157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lastRenderedPageBreak/>
              <w:t>rozwiązuje zadania problemowe wykraczające poza wymagania dopełniające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rozumie, że dźwięk jest falą mechaniczną trójwymiarową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podaje wartość prędkości rozchodzenia się fal dźwiękowych w powietrzu</w:t>
            </w:r>
            <w:r w:rsidRPr="00A62E15">
              <w:rPr>
                <w:rFonts w:ascii="Calibri" w:hAnsi="Calibri" w:cs="Calibri"/>
                <w:sz w:val="24"/>
                <w:szCs w:val="24"/>
              </w:rPr>
              <w:tab/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ultra- i infradźwięki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definiuje wysokość, barwę i natężenie dźwięku 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wyjaśnia, czym się zajmuje akustyka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dźwięk jako falę mechaniczną trójwymiarową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podaje przykłady zastosowań infra- i ultradźwięków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podaje zakres częstotliwości fal dźwiękowych słyszalnych dla człowieka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korzysta z wartości prędkości dźwięku w sytuacjach prostych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znaczenie wysokości, barwy i natężenia dźwięku</w:t>
            </w:r>
          </w:p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wyjaśnia, czym jest hałas</w:t>
            </w:r>
          </w:p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korzysta z wartości prędkości dźwięku w sytuacjach problemowych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spacing w:line="240" w:lineRule="auto"/>
              <w:ind w:left="157" w:hanging="157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zależność między częstotliwością i natężeniem dźwięku a słyszalnością</w:t>
            </w:r>
          </w:p>
          <w:p w:rsidR="008C7ACD" w:rsidRPr="00A62E15" w:rsidRDefault="008C7ACD" w:rsidP="00092E68">
            <w:pPr>
              <w:pStyle w:val="Wypunktowanie"/>
              <w:spacing w:line="240" w:lineRule="auto"/>
              <w:ind w:left="157" w:hanging="157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pojęcia progu słyszalności i progu bólu</w:t>
            </w:r>
          </w:p>
          <w:p w:rsidR="008C7ACD" w:rsidRPr="00A62E15" w:rsidRDefault="008C7ACD" w:rsidP="00092E68">
            <w:pPr>
              <w:pStyle w:val="Wypunktowanie"/>
              <w:spacing w:line="240" w:lineRule="auto"/>
              <w:ind w:left="157" w:hanging="157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zjawisko odbicia i załamania dźwięku jako fali mechanicznej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rezonans akustyczny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zjawisko dyfrakcji dźwięku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zjawiska echa i pogłosu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zjawisko dudnienia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jakościowo zjawisko Dopplera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0"/>
              </w:numPr>
              <w:ind w:left="31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mechanizm powstania echa i pogłosu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podaje warunki występowania echa i pogłosu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podaje przykłady zastosowań rezonansu akustycznego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0"/>
              </w:numPr>
              <w:ind w:left="31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wykorzystuje zjawisko Dopplera do opisu fali docierającej do obserwatora, gdy źródło fali i obserwator poruszają się wzajemnie</w:t>
            </w:r>
          </w:p>
          <w:p w:rsidR="008C7ACD" w:rsidRPr="00A62E15" w:rsidRDefault="008C7ACD" w:rsidP="00092E68">
            <w:pPr>
              <w:pStyle w:val="Wypunktowanie"/>
              <w:spacing w:line="240" w:lineRule="auto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podaje przykłady występowania zjawiska Dopplera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oblicza częstotliwość źródła lub dźwięku docierającego do obserwatora w zjawisku Dopplera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A62E15">
        <w:tc>
          <w:tcPr>
            <w:tcW w:w="14283" w:type="dxa"/>
            <w:gridSpan w:val="5"/>
            <w:shd w:val="clear" w:color="auto" w:fill="auto"/>
          </w:tcPr>
          <w:p w:rsidR="008F0D67" w:rsidRPr="00A62E15" w:rsidRDefault="008F0D67" w:rsidP="008F0D67">
            <w:pPr>
              <w:spacing w:after="0"/>
              <w:rPr>
                <w:b/>
                <w:sz w:val="24"/>
                <w:szCs w:val="24"/>
              </w:rPr>
            </w:pPr>
            <w:r w:rsidRPr="00A62E15">
              <w:rPr>
                <w:rFonts w:cs="Calibri"/>
                <w:b/>
                <w:sz w:val="24"/>
                <w:szCs w:val="24"/>
              </w:rPr>
              <w:t>Dział 2: Fale świetlne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rozumie, że światło białe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jest falą elektromagnetyczną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wymienia historyczne poglądu na naturę światła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promień światła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opisuje istotę światła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białego jako fali elektromagnetycznej 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historyczne poglądu na naturę światła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wskazuje dyfrakcję światła jako dowód na jego falową naturę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rozumie, iż światło białe jest sumą fal świetlnych o różnych długościach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0"/>
              </w:numPr>
              <w:ind w:left="31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wskazuje zakres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długości fal elektromagnetycznych odpowiadający światłu widzialnemu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światło białe jako sumę fal świetlnych o różnych długościach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wyjaśnia, dlaczego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dyfrakcja światła stanowi dowód na jego falową naturę</w:t>
            </w:r>
          </w:p>
          <w:p w:rsidR="008C7ACD" w:rsidRPr="00A62E15" w:rsidRDefault="008C7ACD" w:rsidP="00092E68">
            <w:pPr>
              <w:pStyle w:val="Wypunktowanie"/>
              <w:spacing w:line="240" w:lineRule="auto"/>
              <w:ind w:left="314" w:hanging="211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formułuje podstawowe założenia optyki geometrycznej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lastRenderedPageBreak/>
              <w:t xml:space="preserve">opisuje zjawisko </w:t>
            </w:r>
            <w:r w:rsidRPr="00A62E15">
              <w:rPr>
                <w:rFonts w:cs="Calibri"/>
                <w:sz w:val="24"/>
                <w:szCs w:val="24"/>
              </w:rPr>
              <w:lastRenderedPageBreak/>
              <w:t>interferencji światła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opisuje mechanizm widzenia kolorów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opisuje zjawisko odbicia światła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zaznacza kąt padania i kąt odbicia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zjawisko rozproszenia światła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podaje przykłady występowania zjawiska odbicia światła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formułuje prawo odbicia dla fal świetlnych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kreśli odbicie obiektu w zwierciadle płaskim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znaczenie zjawiska odbicia światła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wykorzystuje prawo odbicia dla fal świetlnych w sytuacjach prostych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podaje przykłady wykorzystania zjawiska odbicia światła w technice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0"/>
              </w:numPr>
              <w:ind w:left="29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wykorzystuje prawo odbicia dla fal świetlnych w sytuacjach problemowych</w:t>
            </w:r>
          </w:p>
          <w:p w:rsidR="008C7ACD" w:rsidRPr="00A62E15" w:rsidRDefault="008C7ACD" w:rsidP="00092E68">
            <w:pPr>
              <w:pStyle w:val="Wypunktowanie"/>
              <w:spacing w:line="240" w:lineRule="auto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zasadę działania peryskopu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wyjaśnia zasadę działania lustra weneckiego i światełka odblaskowego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i/>
                <w:iCs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zjawisko załamania światła na granicy ośrodków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znaczenie zjawiska załamania światła</w:t>
            </w:r>
          </w:p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prawidłowo zaznacza kąt padania i kąt załamania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podaje przykłady wykorzystania zjawiska załamania światła w technice</w:t>
            </w:r>
          </w:p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wpływ prędkości światła w danym ośrodku na załamanie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29" w:hanging="229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soczewkę sferyczną i podaje przykłady jej zastosowania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i/>
                <w:iCs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zapisuje i stosuje prawo załamania światła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i/>
                <w:iCs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wyjaśnia znaczenie bezwzględnego współczynnika załamania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i/>
                <w:iCs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definiuje zdolność skupiającą soczewki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i/>
                <w:iCs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 xml:space="preserve">rozwiązuje zadania </w:t>
            </w:r>
            <w:r w:rsidRPr="00A62E15">
              <w:rPr>
                <w:rFonts w:cs="Calibri"/>
                <w:sz w:val="24"/>
                <w:szCs w:val="24"/>
              </w:rPr>
              <w:lastRenderedPageBreak/>
              <w:t>problemowe wykraczające poza wymagania dopełniające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opisuje zjawisko całkowitego wewnętrznego odbicia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kąt graniczny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podaje przykłady występowania zjawiska całkowitego wewnętrznego odbicia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znaczenie kąta granicznego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0"/>
              </w:numPr>
              <w:ind w:left="314"/>
              <w:rPr>
                <w:rFonts w:ascii="Calibri" w:hAnsi="Calibri" w:cs="Calibri"/>
                <w:sz w:val="24"/>
                <w:szCs w:val="24"/>
              </w:rPr>
            </w:pPr>
          </w:p>
          <w:p w:rsidR="008C7ACD" w:rsidRPr="00A62E15" w:rsidRDefault="008C7ACD" w:rsidP="00092E68">
            <w:pPr>
              <w:ind w:left="219" w:hanging="219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wyjaśnia znaczenie zjawiska całkowitego wewnętrznego odbicia 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podaje przykłady wykorzystania zjawiska całkowitego wewnętrznego odbicia w technice</w:t>
            </w:r>
          </w:p>
          <w:p w:rsidR="008C7ACD" w:rsidRPr="00A62E15" w:rsidRDefault="008C7ACD" w:rsidP="00092E68">
            <w:pPr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zasadę działania światłowodu</w:t>
            </w:r>
          </w:p>
          <w:p w:rsidR="008C7ACD" w:rsidRPr="00A62E15" w:rsidRDefault="008C7ACD" w:rsidP="00092E68">
            <w:pPr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3" w:hanging="263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 xml:space="preserve">wyjaśnia warunek zajścia całkowitego wewnętrznego odbicia i znaczenie bezwzględnego współczynnika załamania 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3" w:hanging="263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pryzmat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mechanizm powstawania zjawiska rozszczepiania światła w pryzmacie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kąt łamiący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światło jednobarwne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zjawisko rozszczepienia światła białego, wykorzystując zjawisko załamania światła</w:t>
            </w:r>
          </w:p>
          <w:p w:rsidR="008C7ACD" w:rsidRPr="00A62E15" w:rsidRDefault="008C7ACD" w:rsidP="00092E68">
            <w:pPr>
              <w:pStyle w:val="Wypunktowanie"/>
              <w:ind w:left="219" w:hanging="219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widmo światła białego</w:t>
            </w:r>
          </w:p>
          <w:p w:rsidR="008C7ACD" w:rsidRPr="00A62E15" w:rsidRDefault="008C7ACD" w:rsidP="00092E68">
            <w:pPr>
              <w:ind w:left="219" w:hanging="219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widmo światła białego, korzystając z pojęcia długości fali świetlnej</w:t>
            </w:r>
          </w:p>
          <w:p w:rsidR="008C7ACD" w:rsidRPr="00A62E15" w:rsidRDefault="008C7ACD" w:rsidP="00092E68">
            <w:pPr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opisuje rozszczepienie światła, korzystając z pojęcia prędkości światła o danej długości fali w danym ośrodku </w:t>
            </w:r>
          </w:p>
          <w:p w:rsidR="008C7ACD" w:rsidRPr="00A62E15" w:rsidRDefault="008C7ACD" w:rsidP="00092E68">
            <w:pPr>
              <w:pStyle w:val="Wypunktowanie"/>
              <w:ind w:left="349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zastosowania pryzmatu i zjawiska rozszczepienia światła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3" w:hanging="263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wyjaśnia zjawisko rozszczepienia światła wykorzystując prawo załamania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3" w:hanging="263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zjawisko rozproszenia światła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rozumie znaczenie światła słonecznego w występowaniu faz Księżyca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zauważa zjawiska optyczne w przyrodzie 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opisuje zjawisko Tyndalla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wpływu barwy światła (długości fali) na rozproszenie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opisuje mechanizm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powstawania faz Księżyca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mechanizm powstawania zjawisk zaćmienia Słońca i Księżyca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0"/>
              </w:numPr>
              <w:ind w:left="31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wyjaśnia kolor nieba oraz zjawisko czerwono zachodzącego Słońca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mechanizm powstawania tęczy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przedstawia graficznie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mechanizm powstawania zjawisk zaćmienia Słońca i Księżyca</w:t>
            </w:r>
          </w:p>
          <w:p w:rsidR="008C7ACD" w:rsidRPr="00A62E15" w:rsidRDefault="008C7ACD" w:rsidP="00092E68">
            <w:pPr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wyjaśnia mechanizm powstawania widma absorpcyjnego i jego zastosowania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opisuje zjawisko przesunięcia ku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czerwieni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zjawiska optyczne w przyrodzie, wykorzystując pojęcia fizyczne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wyjaśnia mechanizm powstawania widma emisyjnego i jego zastosowania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 xml:space="preserve">rozwiązuje zadania problemowe </w:t>
            </w:r>
            <w:r w:rsidRPr="00A62E15">
              <w:rPr>
                <w:rFonts w:cs="Calibri"/>
                <w:sz w:val="24"/>
                <w:szCs w:val="24"/>
              </w:rPr>
              <w:lastRenderedPageBreak/>
              <w:t>wykraczające poza wymagania dopełniające</w:t>
            </w:r>
          </w:p>
        </w:tc>
      </w:tr>
      <w:tr w:rsidR="008F0D67" w:rsidRPr="00A62E15" w:rsidTr="00A62E15">
        <w:tc>
          <w:tcPr>
            <w:tcW w:w="14283" w:type="dxa"/>
            <w:gridSpan w:val="5"/>
            <w:shd w:val="clear" w:color="auto" w:fill="auto"/>
          </w:tcPr>
          <w:p w:rsidR="008F0D67" w:rsidRPr="00A62E15" w:rsidRDefault="008F0D67" w:rsidP="008F0D67">
            <w:pPr>
              <w:spacing w:after="0"/>
              <w:rPr>
                <w:b/>
                <w:sz w:val="24"/>
                <w:szCs w:val="24"/>
              </w:rPr>
            </w:pPr>
            <w:r w:rsidRPr="00A62E15">
              <w:rPr>
                <w:rFonts w:cs="Calibri"/>
                <w:b/>
                <w:sz w:val="24"/>
                <w:szCs w:val="24"/>
              </w:rPr>
              <w:lastRenderedPageBreak/>
              <w:t>Dział 3: Fizyka atomowa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widmo promieniowania</w:t>
            </w:r>
          </w:p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promieniowanie podczerwone i nadfioletowe</w:t>
            </w:r>
          </w:p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podaje przykłady działania promieniowania podczerwonego i nadfioletowego</w:t>
            </w:r>
          </w:p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promieniowanie termiczne</w:t>
            </w:r>
          </w:p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ciało doskonale czarne</w:t>
            </w:r>
          </w:p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kwant energii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238" w:hanging="218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widmo ciągłe światła białego</w:t>
            </w:r>
          </w:p>
          <w:p w:rsidR="008C7ACD" w:rsidRPr="00A62E15" w:rsidRDefault="008C7ACD" w:rsidP="00092E68">
            <w:pPr>
              <w:pStyle w:val="Wypunktowanie"/>
              <w:ind w:left="238" w:hanging="218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widmo fal elektromagnetycznych</w:t>
            </w:r>
          </w:p>
          <w:p w:rsidR="008C7ACD" w:rsidRPr="00A62E15" w:rsidRDefault="008C7ACD" w:rsidP="00092E68">
            <w:pPr>
              <w:pStyle w:val="Wypunktowanie"/>
              <w:ind w:left="238" w:hanging="218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promieniowanie termiczne</w:t>
            </w:r>
          </w:p>
          <w:p w:rsidR="008C7ACD" w:rsidRPr="00A62E15" w:rsidRDefault="008C7ACD" w:rsidP="00092E68">
            <w:pPr>
              <w:pStyle w:val="Wypunktowanie"/>
              <w:ind w:left="238" w:hanging="218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rozumie powszechność i znaczenie promieniowania termicznego</w:t>
            </w:r>
          </w:p>
          <w:p w:rsidR="008C7ACD" w:rsidRPr="00A62E15" w:rsidRDefault="008C7ACD" w:rsidP="00092E68">
            <w:pPr>
              <w:pStyle w:val="Wypunktowanie"/>
              <w:ind w:left="238" w:hanging="218"/>
              <w:rPr>
                <w:rFonts w:ascii="Calibri" w:hAnsi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zapisuje zależność między energią i długością fali promieniowania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294" w:hanging="29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promieniowanie podczerwone i nadfioletowe</w:t>
            </w:r>
          </w:p>
          <w:p w:rsidR="008C7ACD" w:rsidRPr="00A62E15" w:rsidRDefault="008C7ACD" w:rsidP="00092E68">
            <w:pPr>
              <w:pStyle w:val="Wypunktowanie"/>
              <w:ind w:left="294" w:hanging="29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podaje przykłady modeli ciała doskonale czarnego</w:t>
            </w:r>
          </w:p>
          <w:p w:rsidR="008C7ACD" w:rsidRPr="00A62E15" w:rsidRDefault="008C7ACD" w:rsidP="00092E68">
            <w:pPr>
              <w:pStyle w:val="Wypunktowanie"/>
              <w:ind w:left="294" w:hanging="29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rozumie istnienie zależności promieniowania termicznego od temperatury</w:t>
            </w:r>
          </w:p>
          <w:p w:rsidR="008C7ACD" w:rsidRPr="00A62E15" w:rsidRDefault="008C7ACD" w:rsidP="00092E68">
            <w:pPr>
              <w:pStyle w:val="Wypunktowanie"/>
              <w:ind w:left="294" w:hanging="29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promieniowanie reliktowe</w:t>
            </w:r>
          </w:p>
          <w:p w:rsidR="008C7ACD" w:rsidRPr="00A62E15" w:rsidRDefault="008C7ACD" w:rsidP="00092E68">
            <w:pPr>
              <w:pStyle w:val="Wypunktowanie"/>
              <w:ind w:left="294" w:hanging="29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wykorzystuje zależność między energią i długością fali promieniowania w sytuacjach prostych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207" w:hanging="283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krzywą rozkładu termicznego</w:t>
            </w:r>
          </w:p>
          <w:p w:rsidR="008C7ACD" w:rsidRPr="00A62E15" w:rsidRDefault="008C7ACD" w:rsidP="00092E68">
            <w:pPr>
              <w:pStyle w:val="Wypunktowanie"/>
              <w:ind w:left="207" w:hanging="283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zależność promieniowania termicznego od temperatury</w:t>
            </w:r>
          </w:p>
          <w:p w:rsidR="008C7ACD" w:rsidRPr="00A62E15" w:rsidRDefault="008C7ACD" w:rsidP="00092E68">
            <w:pPr>
              <w:pStyle w:val="Wypunktowanie"/>
              <w:ind w:left="207" w:hanging="283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znaczenie istnienia promieniowania reliktowego</w:t>
            </w:r>
          </w:p>
          <w:p w:rsidR="008C7ACD" w:rsidRPr="00A62E15" w:rsidRDefault="008C7ACD" w:rsidP="00092E68">
            <w:pPr>
              <w:pStyle w:val="Wypunktowanie"/>
              <w:ind w:left="207" w:hanging="283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zapisuje zależność między energią i długością fali promieniowania w sytuacjach problemowych</w:t>
            </w:r>
          </w:p>
          <w:p w:rsidR="008C7ACD" w:rsidRPr="00A62E15" w:rsidRDefault="008C7ACD" w:rsidP="00092E68">
            <w:pPr>
              <w:pStyle w:val="Wypunktowanie"/>
              <w:ind w:left="207" w:hanging="283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znaczenie kwantu energii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formułuje prawo przesunięć Wiena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formułuje prawo Stefana-Boltzmana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widmo liniowe i linie widmowe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zjawisko linii widmowych oraz widma liniowego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podaje przykłady gazów jako źródeł widma liniowego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opisuje zjawisko widma emisyjnego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podaje przykłady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zastosowania widma liniowego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opisuje mechanizm powstawania linii emisyjnych 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opisuje mechanizm powstawania linii emisyjnych gazów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lastRenderedPageBreak/>
              <w:t>zapisuje wzór i opisuje serię Balmera oraz Balmera–Rydberga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lastRenderedPageBreak/>
              <w:t>korzysta ze wzorów Balmera i Balmera–Rydberga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38"/>
              </w:numPr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definiuje pojęcia cząsteczki (molekuły), atomu, pierwiastka, związku chemicznego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38"/>
              </w:numPr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historyczne poglądy na budowę materii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38"/>
              </w:numPr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formułuje pierwszy postulat Bohra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238" w:hanging="283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układ okresowy pierwiastków</w:t>
            </w:r>
          </w:p>
          <w:p w:rsidR="008C7ACD" w:rsidRPr="00A62E15" w:rsidRDefault="008C7ACD" w:rsidP="00092E68">
            <w:pPr>
              <w:pStyle w:val="Wypunktowanie"/>
              <w:ind w:left="238" w:hanging="283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opisuje modele Thomsona i Rutherforda budowy materii </w:t>
            </w:r>
          </w:p>
          <w:p w:rsidR="008C7ACD" w:rsidRPr="00A62E15" w:rsidRDefault="008C7ACD" w:rsidP="00092E68">
            <w:pPr>
              <w:pStyle w:val="Wypunktowanie"/>
              <w:ind w:left="238" w:hanging="283"/>
              <w:rPr>
                <w:rFonts w:ascii="Calibri" w:hAnsi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wyjaśnia znaczenie pierwszego postulatu Bohra 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ograniczenia modeli Thomsona i Rutherforda budowy materii</w:t>
            </w:r>
          </w:p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doświadczenie Rutherforda</w:t>
            </w:r>
          </w:p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wykorzystuje pierwszy postulat Bohra w sytuacjach prostych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77" w:hanging="28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formułuje wnioski płynące z pierwszego postulatu Bohra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77" w:hanging="28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podaje ograniczenia modelu Bohra atomu wodoru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77" w:hanging="28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wykorzystuje pierwszy postulat Bohra w sytuacjach problemowych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7" w:hanging="28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stan podstawowy oraz stany wzbudzone atomu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zjawisko jonizacji atomu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formułuje drugi postulat Bohra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pojęcie poziomów energetycznych elektronu w atomie wodoru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wykorzystuje elektronowolt jako jednostkę energii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wyjaśnia znaczenie drugiego postulatu Bohra 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podaje wartość energii elektronu wodoru w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stanie podstawowym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przelicza elektronowolty na dżule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zjawisko jonizacji atomu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wykorzystuje drugi postulat Bohra w sytuacjach prostych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207" w:hanging="207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formułuje wnioski płynące z drugiego postulatu Bohra</w:t>
            </w:r>
          </w:p>
          <w:p w:rsidR="008C7ACD" w:rsidRPr="00A62E15" w:rsidRDefault="008C7ACD" w:rsidP="00092E68">
            <w:pPr>
              <w:pStyle w:val="Wypunktowanie"/>
              <w:ind w:left="207" w:hanging="207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wykorzystuje drugi postulat Bohra w sytuacjach problemowych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263" w:hanging="263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wyprowadza zależność między długością fali emitowanego fotonu a numerami orbit, między którymi przeskakuje elektron</w:t>
            </w:r>
          </w:p>
          <w:p w:rsidR="008C7ACD" w:rsidRPr="00A62E15" w:rsidRDefault="008C7ACD" w:rsidP="00092E68">
            <w:pPr>
              <w:pStyle w:val="Wypunktowanie"/>
              <w:ind w:left="263" w:hanging="263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oblicza stałą Rydberga</w:t>
            </w:r>
          </w:p>
          <w:p w:rsidR="008C7ACD" w:rsidRPr="00A62E15" w:rsidRDefault="008C7ACD" w:rsidP="00092E68">
            <w:pPr>
              <w:pStyle w:val="Wypunktowanie"/>
              <w:ind w:left="263" w:hanging="263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A62E15">
        <w:tc>
          <w:tcPr>
            <w:tcW w:w="14283" w:type="dxa"/>
            <w:gridSpan w:val="5"/>
            <w:shd w:val="clear" w:color="auto" w:fill="auto"/>
          </w:tcPr>
          <w:p w:rsidR="008F0D67" w:rsidRPr="00A62E15" w:rsidRDefault="008F0D67" w:rsidP="008F0D67">
            <w:pPr>
              <w:pStyle w:val="Akapitzlist"/>
              <w:spacing w:after="0" w:line="240" w:lineRule="auto"/>
              <w:ind w:left="264"/>
              <w:rPr>
                <w:rFonts w:cs="Calibri"/>
                <w:b/>
                <w:sz w:val="24"/>
                <w:szCs w:val="24"/>
              </w:rPr>
            </w:pPr>
            <w:r w:rsidRPr="00A62E15">
              <w:rPr>
                <w:rFonts w:cs="Calibri"/>
                <w:b/>
                <w:sz w:val="24"/>
                <w:szCs w:val="24"/>
              </w:rPr>
              <w:lastRenderedPageBreak/>
              <w:t>Dział 4: Fizyka jądrowa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jądro atomowe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nukleon, wymienia nukleony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izotop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strukturę układu okresowego pierwiastków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korzysta z układu okresowego pierwiastków do odczytywania informacji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opisuje własności protonu i neutronu 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wykorzystuje z jednostkę masy atomowej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budowę jadra atomowego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wykorzystuje liczbę atomową i masową do oznaczania składu jąder atomowych w sytuacjach prostych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zamienia jednostkę masy atomowej na kilogramy</w:t>
            </w:r>
          </w:p>
          <w:p w:rsidR="008C7ACD" w:rsidRPr="00A62E15" w:rsidRDefault="008C7ACD" w:rsidP="00092E68">
            <w:pPr>
              <w:pStyle w:val="Wypunktowanie"/>
              <w:ind w:left="314" w:hanging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wskazuje izotopy danego pierwiastka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0"/>
              </w:numPr>
              <w:ind w:left="31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wykorzystuje liczbę atomową i masową do oznaczania składu jąder atomowych w sytuacjach problemowych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posługuje się pojęciami jąder stabilnych i niestabilnych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rozumie, że protony i neutrony nie są podstawowymi składnikami materii; zna pojęcie kwarku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oblicza promień jadra atomowego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korzysta z pojęcia jądrowego niedoboru masy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  <w:p w:rsidR="008C7ACD" w:rsidRPr="00A62E15" w:rsidRDefault="008C7ACD" w:rsidP="00092E68">
            <w:pPr>
              <w:rPr>
                <w:rFonts w:cs="Calibri"/>
                <w:sz w:val="24"/>
                <w:szCs w:val="24"/>
              </w:rPr>
            </w:pP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rozpad promieniotwórczy</w:t>
            </w:r>
          </w:p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izotop promieniotwórczy</w:t>
            </w:r>
          </w:p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definiuje aktywność źródła promieniotwórczego 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mechanizm powstawania promieniowania γ</w:t>
            </w:r>
          </w:p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znaczenie aktywności źródła promieniowania</w:t>
            </w:r>
          </w:p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posługuje się bekerelem jako jednostką aktywności źródła promieniotwórczego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zapisuje reakcje rozpadu α i rozpadu β w sytuacjach prostych</w:t>
            </w:r>
          </w:p>
          <w:p w:rsidR="008C7ACD" w:rsidRPr="00A62E15" w:rsidRDefault="008C7ACD" w:rsidP="00092E68">
            <w:pPr>
              <w:pStyle w:val="Wypunktowanie"/>
              <w:ind w:left="312" w:hanging="357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oblicza aktywność źródła promieniotwórczego w sytuacjach prostych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zapisuje reakcje rozpadu α i rozpadu β w sytuacjach problemowych</w:t>
            </w:r>
          </w:p>
          <w:p w:rsidR="008C7ACD" w:rsidRPr="00A62E15" w:rsidRDefault="008C7ACD" w:rsidP="00092E68">
            <w:pPr>
              <w:pStyle w:val="Wypunktowanie"/>
              <w:ind w:left="312" w:hanging="357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oblicza aktywność źródła promieniotwórczego w sytuacjach problemowych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63" w:hanging="28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formułuje i wykorzystuje prawo rozpadu promieniotwórczego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63" w:hanging="28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definiuje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promieniotwórczość naturalną</w:t>
            </w:r>
          </w:p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promieniowanie jądrowe</w:t>
            </w:r>
          </w:p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promieniowanie α, β i γ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podaje przykłady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pierwiastków promieniotwórczych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opisuje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promieniowanie α, β i γ</w:t>
            </w:r>
          </w:p>
          <w:p w:rsidR="008C7ACD" w:rsidRPr="00A62E15" w:rsidRDefault="008C7ACD" w:rsidP="00092E68">
            <w:pPr>
              <w:pStyle w:val="Wypunktowanie"/>
              <w:ind w:left="312" w:hanging="357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podstawowe własności promieniowania jądrowego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opisuje przenikalność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promieniowania α, β i γ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lastRenderedPageBreak/>
              <w:t xml:space="preserve">opisuje działanie </w:t>
            </w:r>
            <w:r w:rsidRPr="00A62E15">
              <w:rPr>
                <w:rFonts w:cs="Calibri"/>
                <w:sz w:val="24"/>
                <w:szCs w:val="24"/>
              </w:rPr>
              <w:lastRenderedPageBreak/>
              <w:t>licznika Geigera-Müllera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definiuje zasięg promieniowania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wymienia zjawiska wywoływane w materii przez promieniowanie γ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dawkę pochłoniętą, dawkę równoważną i dawkę skuteczną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wymienia zadania dozymetrii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wymienia metody ochrony przed promieniowaniem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znaczenie zasięgu promieniowania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zasięg promieniowania α, β i γ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skutki napromieniowania dla organizmów żywych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wymienia źródła promieniowania naturalnego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źródła promieniowania, na które człowiek jest narażony w życiu codziennym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mechanizm zjawiska jonizacji wywołanej przez promieniowanie α i β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znaczenie dawki pochłoniętej, dawki równoważnej i dawki skutecznej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oblicza dawkę pochłoniętą w sytuacjach prostych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wielkości promieniowania naturalnego</w:t>
            </w:r>
          </w:p>
          <w:p w:rsidR="008C7ACD" w:rsidRPr="00A62E15" w:rsidRDefault="008C7ACD" w:rsidP="00092E68">
            <w:pPr>
              <w:pStyle w:val="Wypunktowanie"/>
              <w:spacing w:line="240" w:lineRule="auto"/>
              <w:ind w:left="29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metody ochrony przed promieniowaniem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zjawisko promieniowania hamowania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zjawisko Comptona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zjawisko tworzenia par elektron – pozyton</w:t>
            </w:r>
          </w:p>
          <w:p w:rsidR="008C7ACD" w:rsidRPr="00A62E15" w:rsidRDefault="008C7ACD" w:rsidP="00092E68">
            <w:pPr>
              <w:pStyle w:val="Wypunktowanie"/>
              <w:ind w:left="312" w:hanging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oblicza dawkę pochłoniętą w sytuacjach problemowych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spacing w:line="240" w:lineRule="auto"/>
              <w:ind w:left="263" w:hanging="263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grubość połowicznego zaniku</w:t>
            </w:r>
          </w:p>
          <w:p w:rsidR="008C7ACD" w:rsidRPr="00A62E15" w:rsidRDefault="008C7ACD" w:rsidP="00092E68">
            <w:pPr>
              <w:pStyle w:val="Wypunktowanie"/>
              <w:spacing w:line="240" w:lineRule="auto"/>
              <w:ind w:left="263" w:hanging="263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38"/>
              </w:numPr>
              <w:spacing w:line="240" w:lineRule="auto"/>
              <w:ind w:left="314" w:hanging="36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wymienia medyczne zastosowania prądotwórczości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38"/>
              </w:numPr>
              <w:spacing w:line="240" w:lineRule="auto"/>
              <w:ind w:left="314" w:hanging="36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wymienia techniczne zastosowania prądotwórczości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80" w:hanging="425"/>
              <w:rPr>
                <w:rFonts w:ascii="Calibri" w:hAnsi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wymienia i opisuje korzyści i zagrożenia płynące ze stosowania promieniotwórczości w medycynie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294" w:hanging="29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zastosowania promieniotwórczości w diagnostyce medycznej</w:t>
            </w:r>
          </w:p>
          <w:p w:rsidR="008C7ACD" w:rsidRPr="00A62E15" w:rsidRDefault="008C7ACD" w:rsidP="00092E68">
            <w:pPr>
              <w:pStyle w:val="Wypunktowanie"/>
              <w:ind w:left="294" w:hanging="29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metody radioterapii</w:t>
            </w:r>
          </w:p>
          <w:p w:rsidR="008C7ACD" w:rsidRPr="00A62E15" w:rsidRDefault="008C7ACD" w:rsidP="00092E68">
            <w:pPr>
              <w:pStyle w:val="Wypunktowanie"/>
              <w:ind w:left="294" w:hanging="294"/>
              <w:rPr>
                <w:rFonts w:ascii="Calibri" w:hAnsi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opisuje metody defektoskopii za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pomocą promieniowania jądrowego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opisuje ogniwo izotopowe jako niezawodne źródła zasilania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 xml:space="preserve">wyjaśnia znaczenie promieniowania jądrowego dla </w:t>
            </w:r>
            <w:r w:rsidRPr="00A62E15">
              <w:rPr>
                <w:rFonts w:cs="Calibri"/>
                <w:sz w:val="24"/>
                <w:szCs w:val="24"/>
              </w:rPr>
              <w:lastRenderedPageBreak/>
              <w:t>współczesnego świata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lastRenderedPageBreak/>
              <w:t>opisuje metodę datowania radiowęglowego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 xml:space="preserve">rozwiązuje zadania problemowe wykraczające poza wymagania </w:t>
            </w:r>
            <w:r w:rsidRPr="00A62E15">
              <w:rPr>
                <w:rFonts w:cs="Calibri"/>
                <w:sz w:val="24"/>
                <w:szCs w:val="24"/>
              </w:rPr>
              <w:lastRenderedPageBreak/>
              <w:t>dopełniające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definiuje reakcję jądrową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wymienia zasady zachowania podczas reakcji jądrowych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podaje przykłady technik wywoływania reakcji jądrowych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zasady zachowania podczas reakcji jądrowych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podaje przykłady sztucznych izotopów promieniotwórczych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wyjaśnia znaczenie zasad zachowania podczas reakcji jądrowych 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zapisuje prawidłowo reakcje jądrowe, z stosując zasady zachowania ładunku i zachowania liczby nukleonów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reakcję rozszczepienia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mechanizm wydzielania i pobierania energii podczas reakcji jądrowych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mechanizm tworzenia sztucznych izotopów promieniotwórczych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63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reakcję syntezy jądrowej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63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reakcję łańcuchową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definiuje masę krytyczną </w:t>
            </w:r>
          </w:p>
          <w:p w:rsidR="008C7ACD" w:rsidRPr="002D4AF4" w:rsidRDefault="008C7ACD" w:rsidP="00F33AD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znaczenie neutronów wtórnych w reakcji rozszczepienia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przebieg reakcji łańcuchowej</w:t>
            </w:r>
          </w:p>
          <w:p w:rsidR="008C7ACD" w:rsidRPr="00A62E15" w:rsidRDefault="008C7ACD" w:rsidP="00F33AD0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mechanizm powstawania neutronów wtórnych w reakcji rozszczepienia</w:t>
            </w:r>
          </w:p>
          <w:p w:rsidR="008C7ACD" w:rsidRPr="00F33AD0" w:rsidRDefault="008C7ACD" w:rsidP="00F33AD0">
            <w:pPr>
              <w:pStyle w:val="Wypunktowanie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znaczenie masy krytycznej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wyjaśnia pojęcie współczynnika powielania neutronów</w:t>
            </w:r>
          </w:p>
          <w:p w:rsidR="008C7ACD" w:rsidRPr="00A62E15" w:rsidRDefault="008C7ACD" w:rsidP="00F33AD0">
            <w:pPr>
              <w:pStyle w:val="Wypunktowanie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ind w:left="263" w:hanging="263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A62E15">
        <w:tc>
          <w:tcPr>
            <w:tcW w:w="14283" w:type="dxa"/>
            <w:gridSpan w:val="5"/>
            <w:shd w:val="clear" w:color="auto" w:fill="auto"/>
          </w:tcPr>
          <w:p w:rsidR="008F0D67" w:rsidRPr="00A62E15" w:rsidRDefault="008F0D67" w:rsidP="008F0D67">
            <w:pPr>
              <w:pStyle w:val="Akapitzlist"/>
              <w:spacing w:after="0" w:line="240" w:lineRule="auto"/>
              <w:ind w:left="264"/>
              <w:rPr>
                <w:rFonts w:cs="Calibri"/>
                <w:b/>
                <w:sz w:val="24"/>
                <w:szCs w:val="24"/>
              </w:rPr>
            </w:pPr>
            <w:r w:rsidRPr="00A62E15">
              <w:rPr>
                <w:rFonts w:cs="Calibri"/>
                <w:b/>
                <w:sz w:val="24"/>
                <w:szCs w:val="24"/>
              </w:rPr>
              <w:t>Moduł fakultatywny C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wymienia zastosowania promieniowania rentgenowskiego w diagnostyce medycznej</w:t>
            </w:r>
          </w:p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wymienia zastosowania ultradźwięków w terapii i diagnostyce medycznej</w:t>
            </w:r>
          </w:p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wymienia zastosowania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promieniowania jądrowego w terapii </w:t>
            </w:r>
          </w:p>
          <w:p w:rsidR="008C7ACD" w:rsidRPr="00A62E15" w:rsidRDefault="008C7ACD" w:rsidP="00092E68">
            <w:pPr>
              <w:pStyle w:val="Wypunktowanie"/>
              <w:ind w:left="312" w:hanging="357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wymienia zastosowania leserów w medycynie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opisuje zastosowania promieniowania rentgenowskiego w diagnostyce medycznej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zastosowania akceleratorów medycznych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opisuje zastosowania promieniowania jądrowego w terapii 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wymienia urządzenia medyczne służące w radioterapii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zastosowania leserów w medycynie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opisuje i wyjaśnia zasady wykonywania zdjęć rentgenowskich</w:t>
            </w:r>
          </w:p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opisuje zasadę działania ultrasonografii medycznej </w:t>
            </w:r>
          </w:p>
          <w:p w:rsidR="008C7ACD" w:rsidRPr="00A62E15" w:rsidRDefault="008C7ACD" w:rsidP="00092E68">
            <w:pPr>
              <w:pStyle w:val="Wypunktowanie"/>
              <w:ind w:left="314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opisuje urządzenia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medyczne służące w radioterapii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opisuje zasadę działania tomografu komputerowego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działanie akceleratorów medycznych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wyjaśnia zasadę działań rezonansu </w:t>
            </w:r>
            <w:r w:rsidRPr="00A62E15">
              <w:rPr>
                <w:rFonts w:ascii="Calibri" w:hAnsi="Calibri" w:cs="Calibri"/>
                <w:sz w:val="24"/>
                <w:szCs w:val="24"/>
              </w:rPr>
              <w:lastRenderedPageBreak/>
              <w:t>magnetycznego</w:t>
            </w:r>
          </w:p>
          <w:p w:rsidR="008C7ACD" w:rsidRPr="00A62E15" w:rsidRDefault="008C7ACD" w:rsidP="00092E68">
            <w:pPr>
              <w:pStyle w:val="Wypunktowanie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zasadę działania ultrasonografii dopplerowskiej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lastRenderedPageBreak/>
              <w:t>opisuje zasadę działania lampy rentgenowskiej</w:t>
            </w:r>
          </w:p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4" w:hanging="264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  <w:tr w:rsidR="008F0D67" w:rsidRPr="00A62E15" w:rsidTr="00A62E15">
        <w:tc>
          <w:tcPr>
            <w:tcW w:w="14283" w:type="dxa"/>
            <w:gridSpan w:val="5"/>
            <w:shd w:val="clear" w:color="auto" w:fill="auto"/>
          </w:tcPr>
          <w:p w:rsidR="008F0D67" w:rsidRPr="00A62E15" w:rsidRDefault="008F0D67" w:rsidP="008F0D67">
            <w:pPr>
              <w:pStyle w:val="Akapitzlist"/>
              <w:spacing w:after="0" w:line="240" w:lineRule="auto"/>
              <w:ind w:left="360"/>
              <w:rPr>
                <w:rFonts w:cs="Calibri"/>
                <w:b/>
                <w:sz w:val="24"/>
                <w:szCs w:val="24"/>
              </w:rPr>
            </w:pPr>
            <w:r w:rsidRPr="00A62E15">
              <w:rPr>
                <w:rFonts w:cs="Calibri"/>
                <w:b/>
                <w:sz w:val="24"/>
                <w:szCs w:val="24"/>
              </w:rPr>
              <w:lastRenderedPageBreak/>
              <w:t>Moduł fakultatywny E</w:t>
            </w:r>
          </w:p>
        </w:tc>
      </w:tr>
      <w:tr w:rsidR="008F0D67" w:rsidRPr="00A62E15" w:rsidTr="00092E68">
        <w:tc>
          <w:tcPr>
            <w:tcW w:w="2943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pojęcie cząstek elementarnych</w:t>
            </w:r>
          </w:p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cząstkę i antycząstkę</w:t>
            </w:r>
          </w:p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definiuje kwarki 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wymienia antycząstki protonów, neutronów i elektronów</w:t>
            </w:r>
          </w:p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definiuje i wymienia kwarki oraz podaje ich cechy</w:t>
            </w:r>
          </w:p>
          <w:p w:rsidR="008C7ACD" w:rsidRPr="00A62E15" w:rsidRDefault="008C7ACD" w:rsidP="00092E68">
            <w:pPr>
              <w:pStyle w:val="Wypunktowanie"/>
              <w:ind w:left="312" w:hanging="357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wymienia podstawowe oddziaływania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podaje cechy kwarków</w:t>
            </w:r>
          </w:p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wymienia podstawowe założenia modelu standardowego</w:t>
            </w:r>
          </w:p>
          <w:p w:rsidR="008C7ACD" w:rsidRPr="00A62E15" w:rsidRDefault="008C7ACD" w:rsidP="00092E68">
            <w:pPr>
              <w:pStyle w:val="Wypunktowanie"/>
              <w:ind w:left="312" w:hanging="357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 xml:space="preserve">wymienia podstawowe rodzaje cząstek modelu standardowego 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Wypunktowanie"/>
              <w:ind w:left="312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reakcję anihilacji cząstki i antycząstki</w:t>
            </w:r>
          </w:p>
          <w:p w:rsidR="008C7ACD" w:rsidRPr="00A62E15" w:rsidRDefault="008C7ACD" w:rsidP="00092E68">
            <w:pPr>
              <w:pStyle w:val="Wypunktowanie"/>
              <w:spacing w:line="240" w:lineRule="auto"/>
              <w:ind w:left="226" w:hanging="226"/>
              <w:rPr>
                <w:rFonts w:ascii="Calibri" w:hAnsi="Calibri" w:cs="Calibri"/>
                <w:sz w:val="24"/>
                <w:szCs w:val="24"/>
              </w:rPr>
            </w:pPr>
            <w:r w:rsidRPr="00A62E15">
              <w:rPr>
                <w:rFonts w:ascii="Calibri" w:hAnsi="Calibri" w:cs="Calibri"/>
                <w:sz w:val="24"/>
                <w:szCs w:val="24"/>
              </w:rPr>
              <w:t>opisuje podstawowe rodzaje cząstek modelu standardowego i podaje ich cechy</w:t>
            </w:r>
          </w:p>
        </w:tc>
        <w:tc>
          <w:tcPr>
            <w:tcW w:w="2835" w:type="dxa"/>
            <w:shd w:val="clear" w:color="auto" w:fill="auto"/>
          </w:tcPr>
          <w:p w:rsidR="008C7ACD" w:rsidRPr="00A62E15" w:rsidRDefault="008C7ACD" w:rsidP="00092E6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62E15">
              <w:rPr>
                <w:rFonts w:cs="Calibri"/>
                <w:sz w:val="24"/>
                <w:szCs w:val="24"/>
              </w:rPr>
              <w:t>rozwiązuje zadania problemowe wykraczające poza wymagania dopełniające</w:t>
            </w:r>
          </w:p>
        </w:tc>
      </w:tr>
    </w:tbl>
    <w:p w:rsidR="008C7ACD" w:rsidRPr="00092E68" w:rsidRDefault="008C7ACD" w:rsidP="008C7ACD">
      <w:pPr>
        <w:jc w:val="center"/>
        <w:rPr>
          <w:b/>
          <w:sz w:val="24"/>
          <w:szCs w:val="24"/>
        </w:rPr>
      </w:pPr>
    </w:p>
    <w:sectPr w:rsidR="008C7ACD" w:rsidRPr="00092E68" w:rsidSect="0072669B">
      <w:footerReference w:type="default" r:id="rId10"/>
      <w:pgSz w:w="16838" w:h="11906" w:orient="landscape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3F" w:rsidRDefault="00381B3F" w:rsidP="0072669B">
      <w:pPr>
        <w:spacing w:after="0" w:line="240" w:lineRule="auto"/>
      </w:pPr>
      <w:r>
        <w:separator/>
      </w:r>
    </w:p>
  </w:endnote>
  <w:endnote w:type="continuationSeparator" w:id="0">
    <w:p w:rsidR="00381B3F" w:rsidRDefault="00381B3F" w:rsidP="0072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B" w:rsidRDefault="00A12FB5">
    <w:pPr>
      <w:pStyle w:val="Stopka"/>
      <w:jc w:val="right"/>
    </w:pPr>
    <w:r>
      <w:fldChar w:fldCharType="begin"/>
    </w:r>
    <w:r w:rsidR="0072669B">
      <w:instrText>PAGE   \* MERGEFORMAT</w:instrText>
    </w:r>
    <w:r>
      <w:fldChar w:fldCharType="separate"/>
    </w:r>
    <w:r w:rsidR="00F33AD0">
      <w:rPr>
        <w:noProof/>
      </w:rPr>
      <w:t>2</w:t>
    </w:r>
    <w:r>
      <w:fldChar w:fldCharType="end"/>
    </w:r>
  </w:p>
  <w:p w:rsidR="0072669B" w:rsidRDefault="00726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3F" w:rsidRDefault="00381B3F" w:rsidP="0072669B">
      <w:pPr>
        <w:spacing w:after="0" w:line="240" w:lineRule="auto"/>
      </w:pPr>
      <w:r>
        <w:separator/>
      </w:r>
    </w:p>
  </w:footnote>
  <w:footnote w:type="continuationSeparator" w:id="0">
    <w:p w:rsidR="00381B3F" w:rsidRDefault="00381B3F" w:rsidP="0072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5D1"/>
    <w:multiLevelType w:val="hybridMultilevel"/>
    <w:tmpl w:val="3DA4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3E"/>
    <w:multiLevelType w:val="hybridMultilevel"/>
    <w:tmpl w:val="8F702424"/>
    <w:lvl w:ilvl="0" w:tplc="D71038BC">
      <w:start w:val="1"/>
      <w:numFmt w:val="decimal"/>
      <w:lvlText w:val="5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38D3"/>
    <w:multiLevelType w:val="hybridMultilevel"/>
    <w:tmpl w:val="5C56B9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C4972"/>
    <w:multiLevelType w:val="multilevel"/>
    <w:tmpl w:val="34540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252358"/>
    <w:multiLevelType w:val="hybridMultilevel"/>
    <w:tmpl w:val="4FE229DC"/>
    <w:lvl w:ilvl="0" w:tplc="321E3396">
      <w:start w:val="1"/>
      <w:numFmt w:val="decimal"/>
      <w:lvlText w:val="3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D0735"/>
    <w:multiLevelType w:val="hybridMultilevel"/>
    <w:tmpl w:val="6598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E4DE0"/>
    <w:multiLevelType w:val="hybridMultilevel"/>
    <w:tmpl w:val="83F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5A39"/>
    <w:multiLevelType w:val="hybridMultilevel"/>
    <w:tmpl w:val="133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45DA9"/>
    <w:multiLevelType w:val="hybridMultilevel"/>
    <w:tmpl w:val="AE7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5B49"/>
    <w:multiLevelType w:val="hybridMultilevel"/>
    <w:tmpl w:val="2C4E3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2E616999"/>
    <w:multiLevelType w:val="hybridMultilevel"/>
    <w:tmpl w:val="C8888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7711F"/>
    <w:multiLevelType w:val="hybridMultilevel"/>
    <w:tmpl w:val="F19C7FC8"/>
    <w:lvl w:ilvl="0" w:tplc="041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8" w15:restartNumberingAfterBreak="0">
    <w:nsid w:val="37A97CBC"/>
    <w:multiLevelType w:val="hybridMultilevel"/>
    <w:tmpl w:val="27ECECCC"/>
    <w:lvl w:ilvl="0" w:tplc="D910B930">
      <w:start w:val="1"/>
      <w:numFmt w:val="bullet"/>
      <w:pStyle w:val="Wypunktowani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5234D"/>
    <w:multiLevelType w:val="multilevel"/>
    <w:tmpl w:val="9558FA3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299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732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5B20935"/>
    <w:multiLevelType w:val="hybridMultilevel"/>
    <w:tmpl w:val="BADAD7E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C952A35"/>
    <w:multiLevelType w:val="hybridMultilevel"/>
    <w:tmpl w:val="DA3A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255D"/>
    <w:multiLevelType w:val="hybridMultilevel"/>
    <w:tmpl w:val="208E3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8" w15:restartNumberingAfterBreak="0">
    <w:nsid w:val="684917B3"/>
    <w:multiLevelType w:val="hybridMultilevel"/>
    <w:tmpl w:val="38AA2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97DE8"/>
    <w:multiLevelType w:val="hybridMultilevel"/>
    <w:tmpl w:val="FEC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10062"/>
    <w:multiLevelType w:val="hybridMultilevel"/>
    <w:tmpl w:val="6BEA9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4" w15:restartNumberingAfterBreak="0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5" w15:restartNumberingAfterBreak="0">
    <w:nsid w:val="7ADE61D8"/>
    <w:multiLevelType w:val="hybridMultilevel"/>
    <w:tmpl w:val="B5C24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B7AED"/>
    <w:multiLevelType w:val="hybridMultilevel"/>
    <w:tmpl w:val="701A1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464B5"/>
    <w:multiLevelType w:val="hybridMultilevel"/>
    <w:tmpl w:val="8EDC2F00"/>
    <w:lvl w:ilvl="0" w:tplc="0E925DAC">
      <w:start w:val="1"/>
      <w:numFmt w:val="decimal"/>
      <w:lvlText w:val="4.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4"/>
  </w:num>
  <w:num w:numId="4">
    <w:abstractNumId w:val="12"/>
  </w:num>
  <w:num w:numId="5">
    <w:abstractNumId w:val="30"/>
  </w:num>
  <w:num w:numId="6">
    <w:abstractNumId w:val="14"/>
  </w:num>
  <w:num w:numId="7">
    <w:abstractNumId w:val="3"/>
  </w:num>
  <w:num w:numId="8">
    <w:abstractNumId w:val="26"/>
  </w:num>
  <w:num w:numId="9">
    <w:abstractNumId w:val="18"/>
  </w:num>
  <w:num w:numId="10">
    <w:abstractNumId w:val="27"/>
  </w:num>
  <w:num w:numId="11">
    <w:abstractNumId w:val="33"/>
  </w:num>
  <w:num w:numId="12">
    <w:abstractNumId w:val="34"/>
  </w:num>
  <w:num w:numId="13">
    <w:abstractNumId w:val="31"/>
  </w:num>
  <w:num w:numId="14">
    <w:abstractNumId w:val="6"/>
  </w:num>
  <w:num w:numId="15">
    <w:abstractNumId w:val="25"/>
  </w:num>
  <w:num w:numId="16">
    <w:abstractNumId w:val="28"/>
  </w:num>
  <w:num w:numId="17">
    <w:abstractNumId w:val="29"/>
  </w:num>
  <w:num w:numId="18">
    <w:abstractNumId w:val="21"/>
  </w:num>
  <w:num w:numId="19">
    <w:abstractNumId w:val="10"/>
  </w:num>
  <w:num w:numId="20">
    <w:abstractNumId w:val="32"/>
  </w:num>
  <w:num w:numId="21">
    <w:abstractNumId w:val="9"/>
  </w:num>
  <w:num w:numId="22">
    <w:abstractNumId w:val="16"/>
  </w:num>
  <w:num w:numId="23">
    <w:abstractNumId w:val="5"/>
  </w:num>
  <w:num w:numId="24">
    <w:abstractNumId w:val="0"/>
  </w:num>
  <w:num w:numId="25">
    <w:abstractNumId w:val="11"/>
  </w:num>
  <w:num w:numId="26">
    <w:abstractNumId w:val="8"/>
  </w:num>
  <w:num w:numId="27">
    <w:abstractNumId w:val="2"/>
  </w:num>
  <w:num w:numId="28">
    <w:abstractNumId w:val="20"/>
  </w:num>
  <w:num w:numId="29">
    <w:abstractNumId w:val="23"/>
  </w:num>
  <w:num w:numId="30">
    <w:abstractNumId w:val="15"/>
  </w:num>
  <w:num w:numId="31">
    <w:abstractNumId w:val="36"/>
  </w:num>
  <w:num w:numId="32">
    <w:abstractNumId w:val="7"/>
  </w:num>
  <w:num w:numId="33">
    <w:abstractNumId w:val="37"/>
  </w:num>
  <w:num w:numId="34">
    <w:abstractNumId w:val="19"/>
  </w:num>
  <w:num w:numId="35">
    <w:abstractNumId w:val="1"/>
  </w:num>
  <w:num w:numId="36">
    <w:abstractNumId w:val="35"/>
  </w:num>
  <w:num w:numId="37">
    <w:abstractNumId w:val="1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EF"/>
    <w:rsid w:val="000652DF"/>
    <w:rsid w:val="00092E68"/>
    <w:rsid w:val="00121311"/>
    <w:rsid w:val="001C4F88"/>
    <w:rsid w:val="002D4AF4"/>
    <w:rsid w:val="0038189E"/>
    <w:rsid w:val="00381B3F"/>
    <w:rsid w:val="003B7245"/>
    <w:rsid w:val="0072669B"/>
    <w:rsid w:val="00771908"/>
    <w:rsid w:val="007B5BA1"/>
    <w:rsid w:val="00895929"/>
    <w:rsid w:val="008C7ACD"/>
    <w:rsid w:val="008F0D67"/>
    <w:rsid w:val="00905712"/>
    <w:rsid w:val="00A12FB5"/>
    <w:rsid w:val="00A62E15"/>
    <w:rsid w:val="00D320EF"/>
    <w:rsid w:val="00F33AD0"/>
    <w:rsid w:val="00F8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FFAD"/>
  <w15:chartTrackingRefBased/>
  <w15:docId w15:val="{F51C8034-E7DA-4010-A89D-0D7A59E5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0EF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qFormat/>
    <w:rsid w:val="00D320EF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hAnsi="Times New Roman"/>
      <w:b/>
      <w:bCs/>
      <w:color w:val="000000"/>
      <w:sz w:val="24"/>
      <w:szCs w:val="20"/>
    </w:rPr>
  </w:style>
  <w:style w:type="paragraph" w:styleId="Nagwek3">
    <w:name w:val="heading 3"/>
    <w:basedOn w:val="Normalny"/>
    <w:next w:val="Normalny"/>
    <w:link w:val="Nagwek3Znak"/>
    <w:semiHidden/>
    <w:qFormat/>
    <w:rsid w:val="00D320EF"/>
    <w:pPr>
      <w:keepNext/>
      <w:shd w:val="pct70" w:color="CC0099" w:fill="auto"/>
      <w:spacing w:after="0" w:line="240" w:lineRule="auto"/>
      <w:outlineLvl w:val="2"/>
    </w:pPr>
    <w:rPr>
      <w:rFonts w:ascii="Times New Roman" w:hAnsi="Times New Roman"/>
      <w:b/>
      <w:bCs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D320EF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3Znak">
    <w:name w:val="Nagłówek 3 Znak"/>
    <w:link w:val="Nagwek3"/>
    <w:semiHidden/>
    <w:rsid w:val="00D320EF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table" w:styleId="Tabela-Siatka">
    <w:name w:val="Table Grid"/>
    <w:basedOn w:val="Standardowy"/>
    <w:uiPriority w:val="59"/>
    <w:rsid w:val="00D320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20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D320EF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2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D320EF"/>
    <w:rPr>
      <w:rFonts w:eastAsia="Times New Roman"/>
      <w:lang w:eastAsia="pl-PL"/>
    </w:rPr>
  </w:style>
  <w:style w:type="character" w:customStyle="1" w:styleId="Bold">
    <w:name w:val="!_Bold"/>
    <w:uiPriority w:val="1"/>
    <w:qFormat/>
    <w:rsid w:val="00D320EF"/>
    <w:rPr>
      <w:b/>
      <w:bCs/>
    </w:rPr>
  </w:style>
  <w:style w:type="paragraph" w:customStyle="1" w:styleId="Tekstglowny">
    <w:name w:val="!_Tekst_glowny"/>
    <w:qFormat/>
    <w:rsid w:val="00D320EF"/>
    <w:pPr>
      <w:spacing w:line="260" w:lineRule="atLeast"/>
      <w:jc w:val="both"/>
    </w:pPr>
    <w:rPr>
      <w:rFonts w:ascii="Times New Roman" w:eastAsia="Times New Roman" w:hAnsi="Times New Roman"/>
      <w:szCs w:val="22"/>
    </w:rPr>
  </w:style>
  <w:style w:type="paragraph" w:customStyle="1" w:styleId="Wypunktowanie">
    <w:name w:val="!_Wypunktowanie"/>
    <w:basedOn w:val="Tekstglowny"/>
    <w:qFormat/>
    <w:rsid w:val="00D320EF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20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Italic">
    <w:name w:val="!_Italic"/>
    <w:uiPriority w:val="1"/>
    <w:qFormat/>
    <w:rsid w:val="00D320EF"/>
    <w:rPr>
      <w:i/>
      <w:iCs/>
    </w:rPr>
  </w:style>
  <w:style w:type="paragraph" w:customStyle="1" w:styleId="Tytul2">
    <w:name w:val="!_Tytul_2"/>
    <w:qFormat/>
    <w:rsid w:val="00D320EF"/>
    <w:pPr>
      <w:spacing w:before="120" w:after="120" w:line="360" w:lineRule="atLeast"/>
    </w:pPr>
    <w:rPr>
      <w:rFonts w:ascii="Arial" w:eastAsia="Times New Roman" w:hAnsi="Arial"/>
      <w:color w:val="E36C0A"/>
      <w:sz w:val="28"/>
      <w:szCs w:val="22"/>
    </w:rPr>
  </w:style>
  <w:style w:type="paragraph" w:customStyle="1" w:styleId="Tytul1">
    <w:name w:val="!_Tytul_1"/>
    <w:qFormat/>
    <w:rsid w:val="00D320EF"/>
    <w:pPr>
      <w:spacing w:before="120" w:after="120" w:line="460" w:lineRule="atLeast"/>
      <w:jc w:val="both"/>
    </w:pPr>
    <w:rPr>
      <w:rFonts w:ascii="Arial" w:eastAsia="Times New Roman" w:hAnsi="Arial"/>
      <w:color w:val="984806"/>
      <w:sz w:val="36"/>
      <w:szCs w:val="22"/>
    </w:rPr>
  </w:style>
  <w:style w:type="paragraph" w:customStyle="1" w:styleId="Tytul3">
    <w:name w:val="!_Tytul_3"/>
    <w:basedOn w:val="Tytul2"/>
    <w:qFormat/>
    <w:rsid w:val="00D320EF"/>
    <w:rPr>
      <w:color w:val="31849B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320EF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E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320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0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20EF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0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20EF"/>
    <w:rPr>
      <w:rFonts w:eastAsia="Times New Roman"/>
      <w:b/>
      <w:bCs/>
      <w:sz w:val="20"/>
      <w:szCs w:val="20"/>
      <w:lang w:eastAsia="pl-PL"/>
    </w:rPr>
  </w:style>
  <w:style w:type="character" w:customStyle="1" w:styleId="MTConvertedEquation">
    <w:name w:val="MTConvertedEquation"/>
    <w:rsid w:val="00D320EF"/>
    <w:rPr>
      <w:rFonts w:ascii="Cambria Math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9105</Words>
  <Characters>54631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cp:lastModifiedBy>Sony</cp:lastModifiedBy>
  <cp:revision>2</cp:revision>
  <dcterms:created xsi:type="dcterms:W3CDTF">2025-03-03T21:44:00Z</dcterms:created>
  <dcterms:modified xsi:type="dcterms:W3CDTF">2025-03-03T21:44:00Z</dcterms:modified>
</cp:coreProperties>
</file>